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EC90" w14:textId="77777777" w:rsidR="00FF36D2" w:rsidRDefault="00FF36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889" w:type="dxa"/>
        <w:tblInd w:w="-108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536"/>
        <w:gridCol w:w="3118"/>
      </w:tblGrid>
      <w:tr w:rsidR="00FF36D2" w14:paraId="68DAA724" w14:textId="77777777">
        <w:trPr>
          <w:trHeight w:val="833"/>
        </w:trPr>
        <w:tc>
          <w:tcPr>
            <w:tcW w:w="9889" w:type="dxa"/>
            <w:gridSpan w:val="3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D9D9D9"/>
            <w:vAlign w:val="center"/>
          </w:tcPr>
          <w:p w14:paraId="2E0E376A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</w:rPr>
              <w:t xml:space="preserve">scheda di progettazione </w:t>
            </w:r>
          </w:p>
          <w:p w14:paraId="7270B4F2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hanging="3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</w:rPr>
              <w:t>sala bianca</w:t>
            </w:r>
          </w:p>
        </w:tc>
      </w:tr>
      <w:tr w:rsidR="00FF36D2" w14:paraId="4C75094A" w14:textId="77777777">
        <w:trPr>
          <w:trHeight w:val="786"/>
        </w:trPr>
        <w:tc>
          <w:tcPr>
            <w:tcW w:w="2235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</w:tcPr>
          <w:p w14:paraId="274AFA67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  <w:t>Argomento/tema</w:t>
            </w:r>
          </w:p>
          <w:p w14:paraId="02751198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Cosa comunicare?</w:t>
            </w:r>
          </w:p>
          <w:p w14:paraId="6030B554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</w:tcPr>
          <w:p w14:paraId="47A951CD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B400BC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8D0F47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Corrispondenza tra linguaggi espressivi </w:t>
            </w:r>
          </w:p>
          <w:p w14:paraId="2F8FEE9C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C1AC04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F0EB06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36D2" w14:paraId="12FC1A03" w14:textId="77777777">
        <w:trPr>
          <w:trHeight w:val="743"/>
        </w:trPr>
        <w:tc>
          <w:tcPr>
            <w:tcW w:w="2235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</w:tcPr>
          <w:p w14:paraId="40F239FE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  <w:t xml:space="preserve">Obiettivi </w:t>
            </w:r>
          </w:p>
          <w:p w14:paraId="27A7A482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Perché comunicare?</w:t>
            </w:r>
          </w:p>
          <w:p w14:paraId="655EE3E5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</w:tcPr>
          <w:p w14:paraId="0459ABC6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1F8DC3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8E72F0" w14:textId="35AF6369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Tenendo in considerazione il modello tradizionale delle università europee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humboltdiano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da Wilhelm von Humboldt), riteniamo opportuno promuovere la costitutiva interdisciplinarità delle scienze umane, al fine di sviluppare delle sinergie efficaci nella trasmissione dei saperi. </w:t>
            </w:r>
          </w:p>
          <w:p w14:paraId="0BDC6032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630D25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36D2" w:rsidRPr="005C300C" w14:paraId="60A64988" w14:textId="77777777">
        <w:trPr>
          <w:cantSplit/>
          <w:trHeight w:val="764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8" w:space="0" w:color="595959"/>
              <w:bottom w:val="single" w:sz="4" w:space="0" w:color="000000"/>
              <w:right w:val="single" w:sz="8" w:space="0" w:color="595959"/>
            </w:tcBorders>
          </w:tcPr>
          <w:p w14:paraId="6C7EA933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  <w:t>Linguaggi e strumenti</w:t>
            </w:r>
          </w:p>
          <w:p w14:paraId="522DE7A3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Come comunicare?</w:t>
            </w:r>
          </w:p>
        </w:tc>
        <w:tc>
          <w:tcPr>
            <w:tcW w:w="4536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14:paraId="461C3773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-249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Quali immagini?</w:t>
            </w:r>
          </w:p>
          <w:p w14:paraId="43880B72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Massimo 10 immagini </w:t>
            </w:r>
          </w:p>
          <w:p w14:paraId="552BF7FE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2D5B47A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All’interno della galleria di immagini è possibile inserire anche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u w:val="single"/>
              </w:rPr>
              <w:t>Immagini QR code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massimo 2</w:t>
            </w:r>
            <w:r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>)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  <w:sz w:val="22"/>
                <w:szCs w:val="22"/>
              </w:rPr>
              <w:t>.</w:t>
            </w:r>
          </w:p>
          <w:p w14:paraId="2B7960B2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-2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14:paraId="6A7F653A" w14:textId="77777777" w:rsidR="00FF36D2" w:rsidRPr="005C300C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Paul Klee, Abstract trio, 1923 </w:t>
            </w:r>
            <w:hyperlink r:id="rId4">
              <w:r w:rsidRPr="005C30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https://www.metmuseum.org/art/collection/search/483154</w:t>
              </w:r>
            </w:hyperlink>
          </w:p>
          <w:p w14:paraId="345B56BC" w14:textId="77777777" w:rsidR="00FF36D2" w:rsidRPr="005C300C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14:paraId="2F1B3D05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Italo Calvino, Il castello dei destini incrociati, 1973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https://www.goodreads.com/review/show/2292332741</w:t>
              </w:r>
            </w:hyperlink>
          </w:p>
          <w:p w14:paraId="4300B0AC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8697BF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Marc Chagall, La sposa, 1950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https://arthive.com/it/marcchagall/works/376562~La_sposa</w:t>
              </w:r>
            </w:hyperlink>
          </w:p>
          <w:p w14:paraId="22782506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311837" w14:textId="77777777" w:rsidR="00FF36D2" w:rsidRPr="005C300C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Laurie O’Connell, Hieronymus. Exploring strange </w:t>
            </w:r>
            <w:proofErr w:type="spellStart"/>
            <w:r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worldscapes</w:t>
            </w:r>
            <w:proofErr w:type="spellEnd"/>
            <w:r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, 2022 (2024 </w:t>
            </w:r>
            <w:proofErr w:type="spellStart"/>
            <w:r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ita</w:t>
            </w:r>
            <w:proofErr w:type="spellEnd"/>
            <w:r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) </w:t>
            </w:r>
            <w:hyperlink r:id="rId7">
              <w:r w:rsidRPr="005C30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https://laurieoconnel.itch.io/hieronymus</w:t>
              </w:r>
            </w:hyperlink>
          </w:p>
          <w:p w14:paraId="547AE94B" w14:textId="77777777" w:rsidR="00FF36D2" w:rsidRPr="005C300C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14:paraId="0A54D112" w14:textId="77777777" w:rsidR="00FF36D2" w:rsidRPr="005C300C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14:paraId="72E54573" w14:textId="77777777" w:rsidR="00FF36D2" w:rsidRPr="005C300C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FF36D2" w:rsidRPr="005C300C" w14:paraId="7015BA0D" w14:textId="77777777">
        <w:trPr>
          <w:cantSplit/>
          <w:trHeight w:val="964"/>
        </w:trPr>
        <w:tc>
          <w:tcPr>
            <w:tcW w:w="2235" w:type="dxa"/>
            <w:vMerge/>
            <w:tcBorders>
              <w:top w:val="single" w:sz="4" w:space="0" w:color="000000"/>
              <w:left w:val="single" w:sz="8" w:space="0" w:color="595959"/>
              <w:bottom w:val="single" w:sz="4" w:space="0" w:color="000000"/>
              <w:right w:val="single" w:sz="8" w:space="0" w:color="595959"/>
            </w:tcBorders>
          </w:tcPr>
          <w:p w14:paraId="665FD0E1" w14:textId="77777777" w:rsidR="00FF36D2" w:rsidRPr="005C300C" w:rsidRDefault="00FF3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14:paraId="04DD25DA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-249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Quali contenuti video?</w:t>
            </w:r>
          </w:p>
          <w:p w14:paraId="3301D511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-249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Massimo 4 file video</w:t>
            </w:r>
          </w:p>
          <w:p w14:paraId="6857C1D8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-249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09B45F0D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Inserire link a video già presenti su YouTube o produrre un proprio video da caricare sul canale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</w:rPr>
                <w:t xml:space="preserve">YouTube del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</w:rPr>
                <w:t>MOdE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(previa richiesta).</w:t>
            </w:r>
          </w:p>
          <w:p w14:paraId="67AF388E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-249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14:paraId="4819A0B0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0"/>
              </w:tabs>
              <w:ind w:left="316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Italo Calvino, RSI, 1973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https://www.youtube.com/watch?v=pk5uNMlsjVc</w:t>
              </w:r>
            </w:hyperlink>
          </w:p>
          <w:p w14:paraId="1A365881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0"/>
              </w:tabs>
              <w:ind w:left="316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EE1B2A" w14:textId="77777777" w:rsidR="00FF36D2" w:rsidRPr="005C300C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0"/>
              </w:tabs>
              <w:ind w:left="316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Pierre Boulez, </w:t>
            </w:r>
            <w:r w:rsidRPr="005C300C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en-GB"/>
              </w:rPr>
              <w:t xml:space="preserve">Vienna Philharmonic in rehearsal of works by Alban Berg, 1998 </w:t>
            </w:r>
            <w:hyperlink r:id="rId10">
              <w:r w:rsidRPr="005C30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https://www.youtube.com/watch?v=qC1Z6dqzK9s</w:t>
              </w:r>
            </w:hyperlink>
          </w:p>
          <w:p w14:paraId="1694ECFB" w14:textId="77777777" w:rsidR="00FF36D2" w:rsidRPr="005C300C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0"/>
              </w:tabs>
              <w:ind w:left="316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14:paraId="6A54210A" w14:textId="77777777" w:rsidR="00FF36D2" w:rsidRPr="005C300C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0"/>
              </w:tabs>
              <w:ind w:left="316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14:paraId="38845DE4" w14:textId="77777777" w:rsidR="00FF36D2" w:rsidRPr="005C300C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470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14:paraId="4912C4D3" w14:textId="77777777" w:rsidR="00FF36D2" w:rsidRPr="005C300C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470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FF36D2" w14:paraId="41928CE0" w14:textId="77777777">
        <w:trPr>
          <w:cantSplit/>
          <w:trHeight w:val="796"/>
        </w:trPr>
        <w:tc>
          <w:tcPr>
            <w:tcW w:w="2235" w:type="dxa"/>
            <w:vMerge/>
            <w:tcBorders>
              <w:top w:val="single" w:sz="4" w:space="0" w:color="000000"/>
              <w:left w:val="single" w:sz="8" w:space="0" w:color="595959"/>
              <w:bottom w:val="single" w:sz="4" w:space="0" w:color="000000"/>
              <w:right w:val="single" w:sz="8" w:space="0" w:color="595959"/>
            </w:tcBorders>
          </w:tcPr>
          <w:p w14:paraId="0C8F780A" w14:textId="77777777" w:rsidR="00FF36D2" w:rsidRPr="005C300C" w:rsidRDefault="00FF3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536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</w:tcPr>
          <w:p w14:paraId="76FCE016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Quale contenuto audio?</w:t>
            </w:r>
          </w:p>
          <w:p w14:paraId="172B8366" w14:textId="201FD5B6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1 file audio </w:t>
            </w:r>
          </w:p>
          <w:p w14:paraId="7B5C8BA9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Inserire un proprio contenuto audio (un sonoro, la lettura di un testo, la descrizione della sala…).</w:t>
            </w:r>
          </w:p>
          <w:p w14:paraId="2866C7A9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14:paraId="0A065C37" w14:textId="2FC127C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821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(privacy?)</w:t>
            </w:r>
          </w:p>
          <w:p w14:paraId="310C57D6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36D2" w14:paraId="1157CC40" w14:textId="77777777">
        <w:trPr>
          <w:cantSplit/>
          <w:trHeight w:val="764"/>
        </w:trPr>
        <w:tc>
          <w:tcPr>
            <w:tcW w:w="2235" w:type="dxa"/>
            <w:vMerge/>
            <w:tcBorders>
              <w:top w:val="single" w:sz="4" w:space="0" w:color="000000"/>
              <w:left w:val="single" w:sz="8" w:space="0" w:color="595959"/>
              <w:bottom w:val="single" w:sz="4" w:space="0" w:color="000000"/>
              <w:right w:val="single" w:sz="8" w:space="0" w:color="595959"/>
            </w:tcBorders>
          </w:tcPr>
          <w:p w14:paraId="2E3348F0" w14:textId="77777777" w:rsidR="00FF36D2" w:rsidRDefault="00FF36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</w:tcPr>
          <w:p w14:paraId="0081F7AF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Quali documenti?</w:t>
            </w:r>
          </w:p>
          <w:p w14:paraId="5F00CC56" w14:textId="5131B1D0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  <w:sz w:val="22"/>
                <w:szCs w:val="22"/>
              </w:rPr>
              <w:t>Massimo 5 documenti</w:t>
            </w:r>
          </w:p>
          <w:p w14:paraId="7A7F4F75" w14:textId="77777777" w:rsidR="00821AA8" w:rsidRDefault="0082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</w:p>
          <w:p w14:paraId="3CABF897" w14:textId="0DCCB4A6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>Inserire testi di approfondimento rispetto ai</w:t>
            </w:r>
            <w:r w:rsidR="00821AA8"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>contenuti della sala.</w:t>
            </w:r>
          </w:p>
          <w:p w14:paraId="2C6C85E2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14:paraId="5A58FE73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firstLine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I. Calvino (1973),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Il castello dei destini incrociati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Torino: Einaudi. </w:t>
            </w:r>
          </w:p>
          <w:p w14:paraId="23266955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Ff</w:t>
            </w:r>
          </w:p>
          <w:p w14:paraId="13A39668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 Klee (post 2005),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Diari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Milano: Il Saggiatore.</w:t>
            </w:r>
          </w:p>
          <w:p w14:paraId="05CDD3EC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47CACB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 Klee, P. Boulez (post 1989),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Il paese fertile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Milano: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Abscondita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13BA138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A4A228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R. Albarea (2022),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Correspondances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Pisa: ETS.</w:t>
            </w:r>
          </w:p>
          <w:p w14:paraId="41EDB6F1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90104B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T. Bernhard (1983),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Il soccombente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Milano: Adelphi. </w:t>
            </w:r>
          </w:p>
          <w:p w14:paraId="4CCDF7CB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A80BD4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DA78C5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FF36D2" w14:paraId="4BC2B7F5" w14:textId="77777777">
        <w:trPr>
          <w:trHeight w:val="850"/>
        </w:trPr>
        <w:tc>
          <w:tcPr>
            <w:tcW w:w="2235" w:type="dxa"/>
            <w:tcBorders>
              <w:top w:val="nil"/>
              <w:left w:val="single" w:sz="8" w:space="0" w:color="595959"/>
              <w:right w:val="single" w:sz="8" w:space="0" w:color="595959"/>
            </w:tcBorders>
          </w:tcPr>
          <w:p w14:paraId="70436CF1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14:paraId="65B75482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Bibliografia </w:t>
            </w:r>
          </w:p>
          <w:p w14:paraId="4531DBEA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  <w:sz w:val="22"/>
                <w:szCs w:val="22"/>
              </w:rPr>
              <w:t xml:space="preserve">Massimo 5 riferimenti bibliografici </w:t>
            </w:r>
          </w:p>
          <w:p w14:paraId="24CE6DEF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E5C4012" w14:textId="1AE812CB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Inserire i riferimenti a libri/articoli consultati e/o di approfondim</w:t>
            </w:r>
            <w:r w:rsidR="00821AA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nto rispetto ai contenuti della sala.</w:t>
            </w:r>
          </w:p>
          <w:p w14:paraId="5412A8A3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14:paraId="6ADC5499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firstLine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I. Calvino (1973),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Il castello dei destini incrociati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Torino: Einaudi. </w:t>
            </w:r>
          </w:p>
          <w:p w14:paraId="21A65431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Ff</w:t>
            </w:r>
          </w:p>
          <w:p w14:paraId="04F890C7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 Klee (post 2005),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Diari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Milano: Il Saggiatore.</w:t>
            </w:r>
          </w:p>
          <w:p w14:paraId="4ED6E5E1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3DBC6F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P. Klee, P. Boulez (post 1989),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Il paese fertile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Milano: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Abscondita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C72C40B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D7AC0A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R. Albarea (2022),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Correspondances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Pisa: ETS.</w:t>
            </w:r>
          </w:p>
          <w:p w14:paraId="545D61DB" w14:textId="77777777" w:rsidR="00821AA8" w:rsidRDefault="0082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04B945" w14:textId="2C6AE081" w:rsidR="00FF36D2" w:rsidRDefault="0082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Conferenza episcopale italiana (a cura di), </w:t>
            </w:r>
            <w:r w:rsidRPr="005C3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La Bibbia di Gerusalemme</w:t>
            </w:r>
            <w:r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EDB, Bologna 2009.</w:t>
            </w:r>
            <w:r w:rsidR="009F3E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64459B1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731BC09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A076BDA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9C16815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36D2" w:rsidRPr="005C300C" w14:paraId="3731C8E0" w14:textId="77777777">
        <w:trPr>
          <w:trHeight w:val="1118"/>
        </w:trPr>
        <w:tc>
          <w:tcPr>
            <w:tcW w:w="2235" w:type="dxa"/>
            <w:tcBorders>
              <w:top w:val="nil"/>
              <w:left w:val="single" w:sz="8" w:space="0" w:color="595959"/>
              <w:right w:val="single" w:sz="8" w:space="0" w:color="595959"/>
            </w:tcBorders>
          </w:tcPr>
          <w:p w14:paraId="0818130A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14:paraId="1E9F22BA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Sitografia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  <w:sz w:val="22"/>
                <w:szCs w:val="22"/>
              </w:rPr>
              <w:br/>
              <w:t xml:space="preserve">Massimo 5 riferimenti </w:t>
            </w:r>
            <w:proofErr w:type="spellStart"/>
            <w:r>
              <w:rPr>
                <w:rFonts w:ascii="Palatino Linotype" w:eastAsia="Palatino Linotype" w:hAnsi="Palatino Linotype" w:cs="Palatino Linotype"/>
                <w:i/>
                <w:color w:val="000000"/>
                <w:sz w:val="22"/>
                <w:szCs w:val="22"/>
              </w:rPr>
              <w:t>sitografici</w:t>
            </w:r>
            <w:proofErr w:type="spellEnd"/>
            <w:r>
              <w:rPr>
                <w:rFonts w:ascii="Palatino Linotype" w:eastAsia="Palatino Linotype" w:hAnsi="Palatino Linotype" w:cs="Palatino Linotype"/>
                <w:i/>
                <w:color w:val="000000"/>
                <w:sz w:val="22"/>
                <w:szCs w:val="22"/>
              </w:rPr>
              <w:t xml:space="preserve"> </w:t>
            </w:r>
          </w:p>
          <w:p w14:paraId="5A0406F8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</w:p>
          <w:p w14:paraId="678C4A48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 xml:space="preserve">Inserire siti /pagine web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consultate e/o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approfondiemnto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rispetto ai contenuti della sala.</w:t>
            </w:r>
          </w:p>
          <w:p w14:paraId="0C0AA578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</w:tcPr>
          <w:p w14:paraId="0F7AA2FF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CBBF2A" w14:textId="77777777" w:rsidR="00FF36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firstLine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>
              <w:r w:rsidR="009F3E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https://laurieoconnel.itch.io/hieronymus</w:t>
              </w:r>
            </w:hyperlink>
          </w:p>
          <w:p w14:paraId="1971A6BF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firstLine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16A3DC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Italo Calvino, Il castello dei destini incrociati, 1973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https://www.goodreads.com/review/show/2292332741</w:t>
              </w:r>
            </w:hyperlink>
          </w:p>
          <w:p w14:paraId="57990AC8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firstLine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53F8F06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firstLine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5E9008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0"/>
              </w:tabs>
              <w:ind w:left="316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Italo Calvino, RSI, 1973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https://www.youtube.com/watch?v=pk5uNMlsjVc</w:t>
              </w:r>
            </w:hyperlink>
          </w:p>
          <w:p w14:paraId="50C834E2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0"/>
              </w:tabs>
              <w:ind w:left="316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A1A1DD" w14:textId="77777777" w:rsidR="00FF36D2" w:rsidRPr="005C300C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0"/>
              </w:tabs>
              <w:ind w:left="316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Pierre Boulez, </w:t>
            </w:r>
            <w:r w:rsidRPr="005C300C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en-GB"/>
              </w:rPr>
              <w:t xml:space="preserve">Vienna Philharmonic in rehearsal of works by Alban Berg, 1998 </w:t>
            </w:r>
            <w:hyperlink r:id="rId14">
              <w:r w:rsidRPr="005C30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/>
                </w:rPr>
                <w:t>https://www.youtube.com/watch?v=qC1Z6dqzK9s</w:t>
              </w:r>
            </w:hyperlink>
          </w:p>
          <w:p w14:paraId="72CB5401" w14:textId="77777777" w:rsidR="00FF36D2" w:rsidRPr="005C300C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firstLine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14:paraId="7D629775" w14:textId="77777777" w:rsidR="00FF36D2" w:rsidRPr="005C300C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firstLine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14:paraId="4A594F53" w14:textId="77777777" w:rsidR="00FF36D2" w:rsidRPr="005C300C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14:paraId="5F450BAD" w14:textId="77777777" w:rsidR="00FF36D2" w:rsidRPr="005C300C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14:paraId="76DDD498" w14:textId="77777777" w:rsidR="00FF36D2" w:rsidRPr="005C300C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FF36D2" w14:paraId="0343FB26" w14:textId="77777777">
        <w:trPr>
          <w:trHeight w:val="831"/>
        </w:trPr>
        <w:tc>
          <w:tcPr>
            <w:tcW w:w="2235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</w:tcPr>
          <w:p w14:paraId="0BF40462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  <w:lastRenderedPageBreak/>
              <w:t>descrizione</w:t>
            </w:r>
          </w:p>
          <w:p w14:paraId="2B58D043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Inserire la descrizione della Sala Bianca </w:t>
            </w:r>
          </w:p>
        </w:tc>
        <w:tc>
          <w:tcPr>
            <w:tcW w:w="7654" w:type="dxa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</w:tcPr>
          <w:p w14:paraId="670382BF" w14:textId="1F60F598" w:rsidR="00234D0E" w:rsidRPr="005C300C" w:rsidRDefault="007325EC" w:rsidP="009C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</w:pPr>
            <w:r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L’episodio conosciuto come </w:t>
            </w:r>
            <w:r w:rsidRPr="005C30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Torre di Babele</w:t>
            </w:r>
            <w:r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narrato nel </w:t>
            </w:r>
            <w:r w:rsidRPr="005C3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Libro di Genesi</w:t>
            </w:r>
            <w:r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(11, 1-9), ci parla di Dio che distrugge l’unità dell’umanità confondendo le lingue </w:t>
            </w:r>
            <w:proofErr w:type="spellStart"/>
            <w:r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cosicchè</w:t>
            </w:r>
            <w:proofErr w:type="spellEnd"/>
            <w:r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gli uomini non si capiscano più e l’umanità, dispersa, si divida in una molteplicità di popoli. Uno degli errori di Babele (dall’ebraico </w:t>
            </w:r>
            <w:r w:rsidR="009C77DB" w:rsidRPr="005C300C">
              <w:rPr>
                <w:rFonts w:ascii="Times New Roman" w:eastAsia="Garamond" w:hAnsi="Times New Roman" w:cs="Times New Roman"/>
                <w:bCs/>
                <w:i/>
                <w:noProof/>
                <w:sz w:val="24"/>
                <w:szCs w:val="24"/>
              </w:rPr>
              <w:t>balal</w:t>
            </w:r>
            <w:r w:rsidR="009C77DB"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confusione) </w:t>
            </w:r>
            <w:r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fu cercare la salvezza chiudendosi tra simili: </w:t>
            </w:r>
            <w:r w:rsidR="009C77DB"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invece quella comunità umana che, attraverso l’unic</w:t>
            </w:r>
            <w:r w:rsidR="009C77DB"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77DB"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lingua,</w:t>
            </w:r>
            <w:r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intendeva fortificare Babele si disperse</w:t>
            </w:r>
            <w:r w:rsidR="009C77DB"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perché gli imperi che vogliono costruirsi su un unico linguaggio, perdono la biodiversità, si impoveriscono, in quanto stanno negando la diversità</w:t>
            </w:r>
            <w:r w:rsidR="009C77DB"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Al contrario la </w:t>
            </w:r>
            <w:r w:rsidR="00234D0E"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ricchezza</w:t>
            </w:r>
            <w:r w:rsidR="009C77DB"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 </w:t>
            </w:r>
            <w:proofErr w:type="gramStart"/>
            <w:r w:rsidR="009C77DB"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nel popolare nuovi mondi</w:t>
            </w:r>
            <w:proofErr w:type="gramEnd"/>
            <w:r w:rsidR="009C77DB"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C052C"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nella</w:t>
            </w:r>
            <w:r w:rsidR="009C77DB"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varietà delle lingue e delle culture che è autentica diversità.</w:t>
            </w:r>
            <w:r w:rsidR="009C77DB" w:rsidRPr="005C300C">
              <w:t xml:space="preserve"> </w:t>
            </w:r>
          </w:p>
          <w:p w14:paraId="43CBFA09" w14:textId="397C3CD3" w:rsidR="00FF36D2" w:rsidRDefault="00234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 questa base, muove la nostra riflessione incentrata </w:t>
            </w:r>
            <w:r w:rsidRPr="005C30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sull’interdisciplinarità dei linguaggi espressivi</w:t>
            </w:r>
            <w:r w:rsidR="005C052C"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solo</w:t>
            </w:r>
            <w:r w:rsidRPr="005C300C">
              <w:t xml:space="preserve"> </w:t>
            </w:r>
            <w:r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infatti</w:t>
            </w:r>
            <w:proofErr w:type="gramEnd"/>
            <w:r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</w:t>
            </w:r>
            <w:r w:rsidR="009C77DB"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bbandona</w:t>
            </w:r>
            <w:r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</w:t>
            </w:r>
            <w:r w:rsidR="009C77DB"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l’idea medievale della Babele come confusione</w:t>
            </w:r>
            <w:r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non si correrà il rischio di cadere</w:t>
            </w:r>
            <w:r w:rsidR="009C77DB"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atteggiamenti difensivi</w:t>
            </w:r>
            <w:r w:rsidR="005C052C"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C77DB"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legati </w:t>
            </w:r>
            <w:r w:rsidR="005C052C"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unicamente</w:t>
            </w:r>
            <w:r w:rsidR="009C77DB"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 </w:t>
            </w:r>
            <w:r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proprio</w:t>
            </w:r>
            <w:r w:rsidR="009C77DB"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punto di vista rassicurante</w:t>
            </w:r>
            <w:r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In questo modo,</w:t>
            </w:r>
            <w:r w:rsidR="005C052C"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77DB"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accetta</w:t>
            </w:r>
            <w:r w:rsidR="005C052C"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ndo</w:t>
            </w:r>
            <w:r w:rsidR="009C77DB"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ciò che ci è estraneo</w:t>
            </w:r>
            <w:r w:rsidR="005C052C"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C77DB"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052C"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attraverso scambio e arricchimento delle singolarità, </w:t>
            </w:r>
            <w:r w:rsidR="00BE4E2F"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sarà più facile</w:t>
            </w:r>
            <w:r w:rsidR="005C052C" w:rsidRPr="005C3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costruire insieme “la Torre”.</w:t>
            </w:r>
          </w:p>
        </w:tc>
      </w:tr>
      <w:tr w:rsidR="00FF36D2" w14:paraId="0D6D79CF" w14:textId="77777777">
        <w:trPr>
          <w:trHeight w:val="537"/>
        </w:trPr>
        <w:tc>
          <w:tcPr>
            <w:tcW w:w="2235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</w:tcPr>
          <w:p w14:paraId="6206860B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  <w:t xml:space="preserve">titolo </w:t>
            </w:r>
          </w:p>
          <w:p w14:paraId="2F513867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Inserire il titolo della Sala Bianca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  <w:sz w:val="22"/>
                <w:szCs w:val="22"/>
              </w:rPr>
              <w:t xml:space="preserve"> </w:t>
            </w:r>
          </w:p>
          <w:p w14:paraId="59EDA12E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</w:tcPr>
          <w:p w14:paraId="0C4D52C8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Correspondances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FF36D2" w14:paraId="4852F089" w14:textId="77777777">
        <w:trPr>
          <w:trHeight w:val="596"/>
        </w:trPr>
        <w:tc>
          <w:tcPr>
            <w:tcW w:w="2235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</w:tcPr>
          <w:p w14:paraId="3BE6A1B0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  <w:t>parole chiave</w:t>
            </w:r>
          </w:p>
          <w:p w14:paraId="19D5AC37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Inserire 4 parole chiave che sintetizzano i significati proposti nella Sala Bianca</w:t>
            </w:r>
          </w:p>
          <w:p w14:paraId="353C7433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</w:tcPr>
          <w:p w14:paraId="6B42A789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2218E5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interdisciplinarità</w:t>
            </w:r>
          </w:p>
          <w:p w14:paraId="7221F935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linguaggi espressivi </w:t>
            </w:r>
          </w:p>
          <w:p w14:paraId="1C625560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trasposizione</w:t>
            </w:r>
          </w:p>
          <w:p w14:paraId="037205BE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mescolanza  </w:t>
            </w:r>
          </w:p>
        </w:tc>
      </w:tr>
      <w:tr w:rsidR="00FF36D2" w14:paraId="5376E67B" w14:textId="77777777">
        <w:trPr>
          <w:trHeight w:val="1129"/>
        </w:trPr>
        <w:tc>
          <w:tcPr>
            <w:tcW w:w="2235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</w:tcPr>
          <w:p w14:paraId="30E29F8C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  <w:t>immagine di copertina</w:t>
            </w:r>
          </w:p>
          <w:p w14:paraId="010F874B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Scegliere l’immagine più rappresentativa rispetto ai contenuti della sala</w:t>
            </w:r>
          </w:p>
        </w:tc>
        <w:tc>
          <w:tcPr>
            <w:tcW w:w="7654" w:type="dxa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</w:tcPr>
          <w:p w14:paraId="4BC5FC05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62395E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3F7928" w14:textId="77777777" w:rsidR="00FF36D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anchor="/media/File:Pieter_Bruegel_the_Elder_-_The_Tower_of_Babel_(Vienna)_-_Google_Art_Project_-_edited.jpg">
              <w:r w:rsidR="009F3E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https://it.wikipedia.org/wiki/Torre_di_Babele#/media/File:Pieter_Bruegel_the_Elder_-_The_Tower_of_Babel_(Vienna)_-_Google_Art_Project_-_edited.jpg</w:t>
              </w:r>
            </w:hyperlink>
          </w:p>
          <w:p w14:paraId="1DA7CFE2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17BB3D" w14:textId="0067800B" w:rsidR="00B1364F" w:rsidRDefault="00B1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36D2" w14:paraId="7E2CCC05" w14:textId="77777777">
        <w:trPr>
          <w:trHeight w:val="537"/>
        </w:trPr>
        <w:tc>
          <w:tcPr>
            <w:tcW w:w="2235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</w:tcPr>
          <w:p w14:paraId="3E6B2EA9" w14:textId="77777777" w:rsidR="00B1364F" w:rsidRDefault="00B1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</w:pPr>
          </w:p>
          <w:p w14:paraId="157200FC" w14:textId="77777777" w:rsidR="00B1364F" w:rsidRDefault="00B1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</w:pPr>
          </w:p>
          <w:p w14:paraId="1374D5ED" w14:textId="30E9D3E0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2"/>
                <w:szCs w:val="22"/>
              </w:rPr>
              <w:lastRenderedPageBreak/>
              <w:t>autore/i</w:t>
            </w:r>
          </w:p>
          <w:p w14:paraId="043FA564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Inserire il nome dell’autore / degli autori della Sala Bianca</w:t>
            </w:r>
          </w:p>
          <w:p w14:paraId="18B89AF6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280"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</w:tcPr>
          <w:p w14:paraId="7D1D9A97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9D5234" w14:textId="77777777" w:rsidR="00B1364F" w:rsidRDefault="00B136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C0A124" w14:textId="519C7766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Alessia Caviglia</w:t>
            </w:r>
          </w:p>
          <w:p w14:paraId="3FF2DFE2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Alessia Sabatini</w:t>
            </w:r>
          </w:p>
          <w:p w14:paraId="6383BA0A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Anna Passaro</w:t>
            </w:r>
          </w:p>
          <w:p w14:paraId="4F8502C6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Enrico Orsenigo </w:t>
            </w:r>
          </w:p>
          <w:p w14:paraId="3CC84A69" w14:textId="77777777" w:rsidR="00FF36D2" w:rsidRDefault="009F3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Gianfranco Rubino </w:t>
            </w:r>
          </w:p>
          <w:p w14:paraId="6ADB67DF" w14:textId="77777777" w:rsidR="00FF36D2" w:rsidRDefault="00FF3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79BDF51" w14:textId="77777777" w:rsidR="00FF36D2" w:rsidRDefault="00FF36D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hanging="3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F36D2"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6D2"/>
    <w:rsid w:val="00234D0E"/>
    <w:rsid w:val="005C052C"/>
    <w:rsid w:val="005C300C"/>
    <w:rsid w:val="007325EC"/>
    <w:rsid w:val="007F3DEC"/>
    <w:rsid w:val="00821AA8"/>
    <w:rsid w:val="009C77DB"/>
    <w:rsid w:val="009F3E29"/>
    <w:rsid w:val="00B1364F"/>
    <w:rsid w:val="00BE4E2F"/>
    <w:rsid w:val="00F52562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10DD"/>
  <w15:docId w15:val="{C81F392E-094D-4764-93CB-AC8507AE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43zxJlprFUZQuhwoN_qNag" TargetMode="External"/><Relationship Id="rId13" Type="http://schemas.openxmlformats.org/officeDocument/2006/relationships/hyperlink" Target="https://www.youtube.com/watch?v=pk5uNMlsjV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urieoconnel.itch.io/hieronymus" TargetMode="External"/><Relationship Id="rId12" Type="http://schemas.openxmlformats.org/officeDocument/2006/relationships/hyperlink" Target="https://www.goodreads.com/review/show/229233274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rthive.com/it/marcchagall/works/376562~La_sposa" TargetMode="External"/><Relationship Id="rId11" Type="http://schemas.openxmlformats.org/officeDocument/2006/relationships/hyperlink" Target="https://laurieoconnel.itch.io/hieronymus" TargetMode="External"/><Relationship Id="rId5" Type="http://schemas.openxmlformats.org/officeDocument/2006/relationships/hyperlink" Target="https://www.goodreads.com/review/show/2292332741" TargetMode="External"/><Relationship Id="rId15" Type="http://schemas.openxmlformats.org/officeDocument/2006/relationships/hyperlink" Target="https://it.wikipedia.org/wiki/Torre_di_Babele" TargetMode="External"/><Relationship Id="rId10" Type="http://schemas.openxmlformats.org/officeDocument/2006/relationships/hyperlink" Target="https://www.youtube.com/watch?v=qC1Z6dqzK9s" TargetMode="External"/><Relationship Id="rId4" Type="http://schemas.openxmlformats.org/officeDocument/2006/relationships/hyperlink" Target="https://www.metmuseum.org/art/collection/search/483154" TargetMode="External"/><Relationship Id="rId9" Type="http://schemas.openxmlformats.org/officeDocument/2006/relationships/hyperlink" Target="https://www.youtube.com/watch?v=pk5uNMlsjVc" TargetMode="External"/><Relationship Id="rId14" Type="http://schemas.openxmlformats.org/officeDocument/2006/relationships/hyperlink" Target="https://www.youtube.com/watch?v=qC1Z6dqzK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</dc:creator>
  <cp:lastModifiedBy>enrico orsenigo</cp:lastModifiedBy>
  <cp:revision>6</cp:revision>
  <dcterms:created xsi:type="dcterms:W3CDTF">2024-02-23T13:26:00Z</dcterms:created>
  <dcterms:modified xsi:type="dcterms:W3CDTF">2024-03-03T16:25:00Z</dcterms:modified>
</cp:coreProperties>
</file>