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404E" w:rsidRDefault="00577A90">
      <w:pPr>
        <w:pStyle w:val="norma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Matrimonio riparatore</w:t>
      </w:r>
    </w:p>
    <w:p w:rsidR="0099404E" w:rsidRPr="00E73612" w:rsidRDefault="00577A90">
      <w:pPr>
        <w:pStyle w:val="normal"/>
        <w:spacing w:before="200" w:after="200"/>
        <w:rPr>
          <w:rFonts w:ascii="Times New Roman" w:eastAsia="Times New Roman" w:hAnsi="Times New Roman" w:cs="Times New Roman"/>
          <w:szCs w:val="24"/>
        </w:rPr>
      </w:pPr>
      <w:r w:rsidRPr="00E73612">
        <w:rPr>
          <w:rFonts w:ascii="Times New Roman" w:eastAsia="Times New Roman" w:hAnsi="Times New Roman" w:cs="Times New Roman"/>
          <w:szCs w:val="24"/>
        </w:rPr>
        <w:t>Qui sotto è riportato l’Art. 352 del Codice penale del 1889, integrato con gli articoli a cui fa riferimento:</w:t>
      </w:r>
    </w:p>
    <w:tbl>
      <w:tblPr>
        <w:tblStyle w:val="a"/>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206"/>
      </w:tblGrid>
      <w:tr w:rsidR="0099404E">
        <w:trPr>
          <w:cantSplit/>
          <w:trHeight w:val="2772"/>
          <w:tblHeader/>
        </w:trPr>
        <w:tc>
          <w:tcPr>
            <w:tcW w:w="10206" w:type="dxa"/>
            <w:shd w:val="clear" w:color="auto" w:fill="auto"/>
            <w:tcMar>
              <w:top w:w="100" w:type="dxa"/>
              <w:left w:w="100" w:type="dxa"/>
              <w:bottom w:w="100" w:type="dxa"/>
              <w:right w:w="100" w:type="dxa"/>
            </w:tcMar>
          </w:tcPr>
          <w:p w:rsidR="0099404E" w:rsidRDefault="0099404E" w:rsidP="002A5756">
            <w:pPr>
              <w:pStyle w:val="normal"/>
              <w:widowControl w:val="0"/>
              <w:spacing w:line="384" w:lineRule="auto"/>
              <w:jc w:val="center"/>
              <w:rPr>
                <w:b/>
                <w:sz w:val="24"/>
                <w:szCs w:val="24"/>
              </w:rPr>
            </w:pPr>
            <w:hyperlink r:id="rId5">
              <w:r w:rsidR="00577A90">
                <w:rPr>
                  <w:b/>
                  <w:color w:val="1155CC"/>
                  <w:sz w:val="24"/>
                  <w:szCs w:val="24"/>
                  <w:u w:val="single"/>
                </w:rPr>
                <w:t>REGIO DECRETO 30 giugno 1889, n. 6133</w:t>
              </w:r>
            </w:hyperlink>
            <w:r w:rsidR="00577A90">
              <w:rPr>
                <w:b/>
                <w:sz w:val="24"/>
                <w:szCs w:val="24"/>
              </w:rPr>
              <w:t xml:space="preserve"> </w:t>
            </w:r>
          </w:p>
          <w:p w:rsidR="0099404E" w:rsidRDefault="00577A90" w:rsidP="002A5756">
            <w:pPr>
              <w:pStyle w:val="normal"/>
              <w:widowControl w:val="0"/>
              <w:spacing w:line="384" w:lineRule="auto"/>
              <w:rPr>
                <w:rFonts w:ascii="Times New Roman" w:eastAsia="Times New Roman" w:hAnsi="Times New Roman" w:cs="Times New Roman"/>
                <w:i/>
              </w:rPr>
            </w:pPr>
            <w:r>
              <w:rPr>
                <w:i/>
              </w:rPr>
              <w:t>che approva il testo definitivo del Codice penale per il Regno</w:t>
            </w:r>
          </w:p>
          <w:p w:rsidR="0099404E" w:rsidRDefault="00577A90" w:rsidP="002A5756">
            <w:pPr>
              <w:pStyle w:val="normal"/>
              <w:widowControl w:val="0"/>
              <w:spacing w:line="384" w:lineRule="auto"/>
              <w:jc w:val="center"/>
              <w:rPr>
                <w:b/>
                <w:sz w:val="24"/>
                <w:szCs w:val="24"/>
              </w:rPr>
            </w:pPr>
            <w:r>
              <w:rPr>
                <w:b/>
                <w:sz w:val="24"/>
                <w:szCs w:val="24"/>
              </w:rPr>
              <w:t xml:space="preserve">Art. 352. </w:t>
            </w:r>
          </w:p>
          <w:p w:rsidR="0099404E" w:rsidRDefault="00577A90" w:rsidP="002A5756">
            <w:pPr>
              <w:pStyle w:val="normal"/>
              <w:widowControl w:val="0"/>
              <w:spacing w:line="288" w:lineRule="auto"/>
              <w:rPr>
                <w:b/>
              </w:rPr>
            </w:pPr>
            <w:r>
              <w:rPr>
                <w:b/>
              </w:rPr>
              <w:t xml:space="preserve">  Il colpevole di alcuno dei delitti preveduti negli articoli  </w:t>
            </w:r>
          </w:p>
          <w:p w:rsidR="002A5756" w:rsidRDefault="00577A90" w:rsidP="002A5756">
            <w:pPr>
              <w:pStyle w:val="normal"/>
              <w:widowControl w:val="0"/>
              <w:spacing w:line="240" w:lineRule="auto"/>
              <w:ind w:left="720" w:right="493"/>
              <w:rPr>
                <w:rFonts w:ascii="Arial Unicode MS" w:eastAsia="Arial Unicode MS" w:hAnsi="Arial Unicode MS" w:cs="Arial Unicode MS"/>
              </w:rPr>
            </w:pPr>
            <w:r>
              <w:rPr>
                <w:b/>
                <w:sz w:val="24"/>
                <w:szCs w:val="24"/>
              </w:rPr>
              <w:t xml:space="preserve">331 </w:t>
            </w:r>
            <w:r>
              <w:rPr>
                <w:rFonts w:ascii="Arial Unicode MS" w:eastAsia="Arial Unicode MS" w:hAnsi="Arial Unicode MS" w:cs="Arial Unicode MS"/>
              </w:rPr>
              <w:t>→ Chiunque, con violenza o minaccia, costringe una persona dell'uno o dell'</w:t>
            </w:r>
            <w:r w:rsidR="002A5756">
              <w:rPr>
                <w:rFonts w:ascii="Arial Unicode MS" w:eastAsia="Arial Unicode MS" w:hAnsi="Arial Unicode MS" w:cs="Arial Unicode MS"/>
              </w:rPr>
              <w:t>altro</w:t>
            </w:r>
          </w:p>
          <w:p w:rsidR="0099404E" w:rsidRDefault="00577A90" w:rsidP="002A5756">
            <w:pPr>
              <w:pStyle w:val="normal"/>
              <w:widowControl w:val="0"/>
              <w:spacing w:line="240" w:lineRule="auto"/>
              <w:ind w:left="720" w:right="493"/>
            </w:pPr>
            <w:r>
              <w:rPr>
                <w:rFonts w:ascii="Arial Unicode MS" w:eastAsia="Arial Unicode MS" w:hAnsi="Arial Unicode MS" w:cs="Arial Unicode MS"/>
              </w:rPr>
              <w:t>sesso a congiunzione carnale e' punito con la reclusione da tre a dieci anni.</w:t>
            </w:r>
          </w:p>
          <w:p w:rsidR="0099404E" w:rsidRDefault="00577A90" w:rsidP="002A5756">
            <w:pPr>
              <w:pStyle w:val="normal"/>
              <w:widowControl w:val="0"/>
              <w:spacing w:line="240" w:lineRule="auto"/>
              <w:ind w:left="720" w:right="493"/>
            </w:pPr>
            <w:r>
              <w:rPr>
                <w:b/>
                <w:sz w:val="24"/>
                <w:szCs w:val="24"/>
              </w:rPr>
              <w:t xml:space="preserve">332 </w:t>
            </w:r>
            <w:r>
              <w:rPr>
                <w:rFonts w:ascii="Arial Unicode MS" w:eastAsia="Arial Unicode MS" w:hAnsi="Arial Unicode MS" w:cs="Arial Unicode MS"/>
              </w:rPr>
              <w:t>→ [ …in caso la persona sui cui è stata fatta violenza abbia età inferiore di anni 12 o sia malata di mente o di corpo] (lo stupro) sia commesso con abuso di autorita',</w:t>
            </w:r>
            <w:r>
              <w:rPr>
                <w:rFonts w:ascii="Arial Unicode MS" w:eastAsia="Arial Unicode MS" w:hAnsi="Arial Unicode MS" w:cs="Arial Unicode MS"/>
              </w:rPr>
              <w:t xml:space="preserve"> di fiducia o di relazioni domestiche, il colpevole e' punito con la reclusione da sei a dodici anni;</w:t>
            </w:r>
          </w:p>
          <w:p w:rsidR="0099404E" w:rsidRDefault="00577A90" w:rsidP="002A5756">
            <w:pPr>
              <w:pStyle w:val="normal"/>
              <w:widowControl w:val="0"/>
              <w:spacing w:line="240" w:lineRule="auto"/>
              <w:ind w:left="720" w:right="493"/>
            </w:pPr>
            <w:r>
              <w:rPr>
                <w:b/>
                <w:sz w:val="24"/>
                <w:szCs w:val="24"/>
              </w:rPr>
              <w:t xml:space="preserve">333 </w:t>
            </w:r>
            <w:r>
              <w:rPr>
                <w:rFonts w:ascii="Arial Unicode MS" w:eastAsia="Arial Unicode MS" w:hAnsi="Arial Unicode MS" w:cs="Arial Unicode MS"/>
              </w:rPr>
              <w:t xml:space="preserve">→ Chiunque,[...] commette su persona dell'uno o dell'altro sesso atti di libidine, che non siano diretti al delitto preveduto in detto articolo (art. </w:t>
            </w:r>
            <w:r>
              <w:rPr>
                <w:rFonts w:ascii="Arial Unicode MS" w:eastAsia="Arial Unicode MS" w:hAnsi="Arial Unicode MS" w:cs="Arial Unicode MS"/>
              </w:rPr>
              <w:t>331), e' punito con la reclusione da uno a sette anni.</w:t>
            </w:r>
          </w:p>
          <w:p w:rsidR="0099404E" w:rsidRDefault="00577A90" w:rsidP="002A5756">
            <w:pPr>
              <w:pStyle w:val="normal"/>
              <w:widowControl w:val="0"/>
              <w:spacing w:line="240" w:lineRule="auto"/>
              <w:ind w:left="720" w:right="493"/>
            </w:pPr>
            <w:r>
              <w:rPr>
                <w:b/>
                <w:sz w:val="24"/>
                <w:szCs w:val="24"/>
              </w:rPr>
              <w:t xml:space="preserve">335 </w:t>
            </w:r>
            <w:r>
              <w:rPr>
                <w:rFonts w:ascii="Arial Unicode MS" w:eastAsia="Arial Unicode MS" w:hAnsi="Arial Unicode MS" w:cs="Arial Unicode MS"/>
              </w:rPr>
              <w:t xml:space="preserve">→ Chiunque, mediante atti di libidine, corrompe una persona minore </w:t>
            </w:r>
            <w:r w:rsidR="002A5756" w:rsidRPr="002A5756">
              <w:rPr>
                <w:rFonts w:ascii="Arial Unicode MS" w:eastAsia="Arial Unicode MS" w:hAnsi="Arial Unicode MS" w:cs="Arial Unicode MS"/>
              </w:rPr>
              <w:t xml:space="preserve">dei sedici anni e' </w:t>
            </w:r>
            <w:r w:rsidRPr="002A5756">
              <w:rPr>
                <w:rFonts w:ascii="Arial Unicode MS" w:eastAsia="Arial Unicode MS" w:hAnsi="Arial Unicode MS" w:cs="Arial Unicode MS"/>
              </w:rPr>
              <w:t>punito con la reclusione sino a trenta mesi e c</w:t>
            </w:r>
            <w:r w:rsidR="002A5756" w:rsidRPr="002A5756">
              <w:rPr>
                <w:rFonts w:ascii="Arial Unicode MS" w:eastAsia="Arial Unicode MS" w:hAnsi="Arial Unicode MS" w:cs="Arial Unicode MS"/>
              </w:rPr>
              <w:t xml:space="preserve">on la multa da lire cinquanta a  </w:t>
            </w:r>
            <w:r w:rsidRPr="002A5756">
              <w:rPr>
                <w:rFonts w:ascii="Arial Unicode MS" w:eastAsia="Arial Unicode MS" w:hAnsi="Arial Unicode MS" w:cs="Arial Unicode MS"/>
              </w:rPr>
              <w:t>millecinquecento</w:t>
            </w:r>
            <w:r>
              <w:t>.</w:t>
            </w:r>
          </w:p>
          <w:p w:rsidR="0099404E" w:rsidRDefault="00577A90" w:rsidP="002A5756">
            <w:pPr>
              <w:pStyle w:val="normal"/>
              <w:widowControl w:val="0"/>
              <w:spacing w:line="240" w:lineRule="auto"/>
              <w:ind w:left="720" w:right="493"/>
            </w:pPr>
            <w:r>
              <w:rPr>
                <w:b/>
                <w:sz w:val="24"/>
                <w:szCs w:val="24"/>
              </w:rPr>
              <w:t xml:space="preserve">340 </w:t>
            </w:r>
            <w:r>
              <w:rPr>
                <w:rFonts w:ascii="Arial Unicode MS" w:eastAsia="Arial Unicode MS" w:hAnsi="Arial Unicode MS" w:cs="Arial Unicode MS"/>
              </w:rPr>
              <w:t>→ Chiunque</w:t>
            </w:r>
            <w:r>
              <w:rPr>
                <w:rFonts w:ascii="Arial Unicode MS" w:eastAsia="Arial Unicode MS" w:hAnsi="Arial Unicode MS" w:cs="Arial Unicode MS"/>
              </w:rPr>
              <w:t>, con violenza, minaccia o inganno, sottrae o ritiene, per fine di libidine o di matrimonio, una donna maggiore di eta' o emancipata, e' punito con la reclusione da sei mesi a cinque anni.</w:t>
            </w:r>
          </w:p>
          <w:p w:rsidR="0099404E" w:rsidRDefault="00577A90" w:rsidP="002A5756">
            <w:pPr>
              <w:pStyle w:val="normal"/>
              <w:widowControl w:val="0"/>
              <w:spacing w:line="240" w:lineRule="auto"/>
              <w:ind w:left="720" w:right="493"/>
            </w:pPr>
            <w:r>
              <w:rPr>
                <w:b/>
                <w:sz w:val="24"/>
                <w:szCs w:val="24"/>
              </w:rPr>
              <w:t xml:space="preserve">341 </w:t>
            </w:r>
            <w:r>
              <w:rPr>
                <w:rFonts w:ascii="Arial Unicode MS" w:eastAsia="Arial Unicode MS" w:hAnsi="Arial Unicode MS" w:cs="Arial Unicode MS"/>
              </w:rPr>
              <w:t>→ Chiunque, con violenza, minaccia o inganno, sottrae o ritiene</w:t>
            </w:r>
            <w:r>
              <w:rPr>
                <w:rFonts w:ascii="Arial Unicode MS" w:eastAsia="Arial Unicode MS" w:hAnsi="Arial Unicode MS" w:cs="Arial Unicode MS"/>
              </w:rPr>
              <w:t>, per fine di libidine o di matrimonio, una persona di eta' minore,  ovvero per fine di libidine un donna coniugata, e' punito con la reclusione da tre a sette anni.</w:t>
            </w:r>
          </w:p>
          <w:p w:rsidR="0099404E" w:rsidRDefault="00577A90" w:rsidP="002A5756">
            <w:pPr>
              <w:pStyle w:val="normal"/>
              <w:widowControl w:val="0"/>
              <w:spacing w:before="240" w:line="288" w:lineRule="auto"/>
              <w:ind w:left="141" w:right="352"/>
              <w:rPr>
                <w:b/>
              </w:rPr>
            </w:pPr>
            <w:r>
              <w:rPr>
                <w:b/>
                <w:highlight w:val="yellow"/>
              </w:rPr>
              <w:t>va esente da pena</w:t>
            </w:r>
            <w:r>
              <w:rPr>
                <w:b/>
              </w:rPr>
              <w:t xml:space="preserve">, se, prima che sia pronunziata la condanna, </w:t>
            </w:r>
            <w:r>
              <w:rPr>
                <w:b/>
                <w:highlight w:val="yellow"/>
              </w:rPr>
              <w:t xml:space="preserve">contragga matrimonio con la </w:t>
            </w:r>
            <w:r>
              <w:rPr>
                <w:b/>
                <w:highlight w:val="yellow"/>
              </w:rPr>
              <w:t>persona offesa</w:t>
            </w:r>
            <w:r>
              <w:rPr>
                <w:b/>
              </w:rPr>
              <w:t xml:space="preserve">; </w:t>
            </w:r>
          </w:p>
          <w:p w:rsidR="0099404E" w:rsidRDefault="00577A90" w:rsidP="002A5756">
            <w:pPr>
              <w:pStyle w:val="normal"/>
              <w:widowControl w:val="0"/>
              <w:spacing w:line="288" w:lineRule="auto"/>
              <w:ind w:left="141" w:right="352"/>
              <w:rPr>
                <w:b/>
              </w:rPr>
            </w:pPr>
            <w:r>
              <w:rPr>
                <w:b/>
              </w:rPr>
              <w:t xml:space="preserve">e il procedimento cessa per tutti coloro che sono concorsi nel delitto, ferma, ove ne sia il caso, la pena per gli altri reati. </w:t>
            </w:r>
          </w:p>
          <w:p w:rsidR="0099404E" w:rsidRDefault="00577A90" w:rsidP="002A5756">
            <w:pPr>
              <w:pStyle w:val="normal"/>
              <w:widowControl w:val="0"/>
              <w:spacing w:line="288" w:lineRule="auto"/>
              <w:ind w:left="141" w:right="352"/>
            </w:pPr>
            <w:r>
              <w:rPr>
                <w:b/>
              </w:rPr>
              <w:t>Se il matrimonio si contragga dopo la condanna, cessa l'esecuzione e cessano gli effetti penali di essa.</w:t>
            </w:r>
          </w:p>
        </w:tc>
      </w:tr>
    </w:tbl>
    <w:p w:rsidR="0099404E" w:rsidRPr="00E73612" w:rsidRDefault="00577A90" w:rsidP="002A5756">
      <w:pPr>
        <w:pStyle w:val="normal"/>
        <w:spacing w:before="240" w:line="300" w:lineRule="auto"/>
        <w:rPr>
          <w:rFonts w:ascii="Times New Roman" w:eastAsia="Times New Roman" w:hAnsi="Times New Roman" w:cs="Times New Roman"/>
          <w:szCs w:val="24"/>
        </w:rPr>
      </w:pPr>
      <w:r w:rsidRPr="00E73612">
        <w:rPr>
          <w:rFonts w:ascii="Times New Roman" w:eastAsia="Times New Roman" w:hAnsi="Times New Roman" w:cs="Times New Roman"/>
          <w:szCs w:val="24"/>
        </w:rPr>
        <w:t>Il Codice penale, noto come codice Rocco, del 1930 restrinse l’</w:t>
      </w:r>
      <w:r w:rsidR="00693F36" w:rsidRPr="00E73612">
        <w:rPr>
          <w:rFonts w:ascii="Times New Roman" w:eastAsia="Times New Roman" w:hAnsi="Times New Roman" w:cs="Times New Roman"/>
          <w:szCs w:val="24"/>
        </w:rPr>
        <w:t>ammissibilità</w:t>
      </w:r>
      <w:r w:rsidRPr="00E73612">
        <w:rPr>
          <w:rFonts w:ascii="Times New Roman" w:eastAsia="Times New Roman" w:hAnsi="Times New Roman" w:cs="Times New Roman"/>
          <w:szCs w:val="24"/>
        </w:rPr>
        <w:t xml:space="preserve"> del matrimonio riparatore ai soli di casi di stupro, non più rapimento, con l’Art. 544.</w:t>
      </w:r>
    </w:p>
    <w:p w:rsidR="0099404E" w:rsidRPr="00E73612" w:rsidRDefault="00577A90">
      <w:pPr>
        <w:pStyle w:val="normal"/>
        <w:spacing w:line="300" w:lineRule="auto"/>
        <w:rPr>
          <w:rFonts w:ascii="Times New Roman" w:eastAsia="Times New Roman" w:hAnsi="Times New Roman" w:cs="Times New Roman"/>
          <w:szCs w:val="24"/>
        </w:rPr>
      </w:pPr>
      <w:r w:rsidRPr="00E73612">
        <w:rPr>
          <w:rFonts w:ascii="Times New Roman" w:eastAsia="Times New Roman" w:hAnsi="Times New Roman" w:cs="Times New Roman"/>
          <w:szCs w:val="24"/>
        </w:rPr>
        <w:t>Questo articolo rimase in vigore all’interno del Codice, e quindi della nostra società, fino</w:t>
      </w:r>
      <w:r w:rsidRPr="00E73612">
        <w:rPr>
          <w:rFonts w:ascii="Times New Roman" w:eastAsia="Times New Roman" w:hAnsi="Times New Roman" w:cs="Times New Roman"/>
          <w:szCs w:val="24"/>
        </w:rPr>
        <w:t xml:space="preserve"> al 1980. </w:t>
      </w:r>
    </w:p>
    <w:p w:rsidR="0099404E" w:rsidRPr="00E73612" w:rsidRDefault="00577A90">
      <w:pPr>
        <w:pStyle w:val="normal"/>
        <w:spacing w:line="300" w:lineRule="auto"/>
        <w:rPr>
          <w:rFonts w:ascii="Times New Roman" w:eastAsia="Times New Roman" w:hAnsi="Times New Roman" w:cs="Times New Roman"/>
          <w:szCs w:val="24"/>
        </w:rPr>
      </w:pPr>
      <w:r w:rsidRPr="00E73612">
        <w:rPr>
          <w:rFonts w:ascii="Times New Roman" w:eastAsia="Times New Roman" w:hAnsi="Times New Roman" w:cs="Times New Roman"/>
          <w:szCs w:val="24"/>
        </w:rPr>
        <w:t>Il giorno 15 maggio 1980 il Senato della Repubblica tenne una seduta pubblica durante la quale venne discusso il disegno di legge «Abrogazione della rilevanza penale della causa d'onore».</w:t>
      </w:r>
    </w:p>
    <w:p w:rsidR="0099404E" w:rsidRPr="00E73612" w:rsidRDefault="00577A90">
      <w:pPr>
        <w:pStyle w:val="normal"/>
        <w:spacing w:line="300" w:lineRule="auto"/>
        <w:rPr>
          <w:rFonts w:ascii="Times New Roman" w:eastAsia="Times New Roman" w:hAnsi="Times New Roman" w:cs="Times New Roman"/>
          <w:szCs w:val="24"/>
        </w:rPr>
      </w:pPr>
      <w:r w:rsidRPr="00E73612">
        <w:rPr>
          <w:rFonts w:ascii="Times New Roman" w:eastAsia="Times New Roman" w:hAnsi="Times New Roman" w:cs="Times New Roman"/>
          <w:szCs w:val="24"/>
        </w:rPr>
        <w:t>Leggendo diverse parti del resoconto, fa riflettere l’urg</w:t>
      </w:r>
      <w:r w:rsidRPr="00E73612">
        <w:rPr>
          <w:rFonts w:ascii="Times New Roman" w:eastAsia="Times New Roman" w:hAnsi="Times New Roman" w:cs="Times New Roman"/>
          <w:szCs w:val="24"/>
        </w:rPr>
        <w:t>enza di chiudere in fretta la seduta nonostante tratti un tema importante, ingiusto e immodificato dal 1930, come espresso quasi immediatamente (n. d. a.: trovo sia un peccato che non venga riportata l’ora esatta dell’intervento) dal Ministro di grazia e g</w:t>
      </w:r>
      <w:r w:rsidRPr="00E73612">
        <w:rPr>
          <w:rFonts w:ascii="Times New Roman" w:eastAsia="Times New Roman" w:hAnsi="Times New Roman" w:cs="Times New Roman"/>
          <w:szCs w:val="24"/>
        </w:rPr>
        <w:t xml:space="preserve">iustizia, Morlino: «il ritmo che riteniamo di dover imporre a questa seduta pomeridiana (dal momento che già questa mattina si è tenuta seduta)». </w:t>
      </w:r>
    </w:p>
    <w:p w:rsidR="0099404E" w:rsidRPr="00E73612" w:rsidRDefault="00577A90">
      <w:pPr>
        <w:pStyle w:val="normal"/>
        <w:spacing w:line="300" w:lineRule="auto"/>
        <w:rPr>
          <w:rFonts w:ascii="Times New Roman" w:eastAsia="Times New Roman" w:hAnsi="Times New Roman" w:cs="Times New Roman"/>
          <w:szCs w:val="24"/>
        </w:rPr>
      </w:pPr>
      <w:r w:rsidRPr="00E73612">
        <w:rPr>
          <w:rFonts w:ascii="Times New Roman" w:eastAsia="Times New Roman" w:hAnsi="Times New Roman" w:cs="Times New Roman"/>
          <w:szCs w:val="24"/>
        </w:rPr>
        <w:lastRenderedPageBreak/>
        <w:t>La seduta si apre con l’abrogazione degli articoli 544 (“matrimonio riparatore”) e 587 (“omicidio e lesion</w:t>
      </w:r>
      <w:r w:rsidRPr="00E73612">
        <w:rPr>
          <w:rFonts w:ascii="Times New Roman" w:eastAsia="Times New Roman" w:hAnsi="Times New Roman" w:cs="Times New Roman"/>
          <w:szCs w:val="24"/>
        </w:rPr>
        <w:t>e personale a causa di onore”), appartenenti al Codice penale noto come Codice Rocco (in onore del guardasigilli di Mussolini) del 19/10/1930.</w:t>
      </w:r>
    </w:p>
    <w:p w:rsidR="0099404E" w:rsidRDefault="00E73612">
      <w:pPr>
        <w:pStyle w:val="normal"/>
        <w:rPr>
          <w:rFonts w:ascii="Times New Roman" w:eastAsia="Times New Roman" w:hAnsi="Times New Roman" w:cs="Times New Roman"/>
          <w:i/>
          <w:sz w:val="20"/>
          <w:szCs w:val="20"/>
        </w:rPr>
      </w:pPr>
      <w:r>
        <w:rPr>
          <w:rFonts w:ascii="Times New Roman" w:eastAsia="Times New Roman" w:hAnsi="Times New Roman" w:cs="Times New Roman"/>
          <w:noProof/>
          <w:lang w:val="it-IT"/>
        </w:rPr>
        <w:pict>
          <v:shapetype id="_x0000_t202" coordsize="21600,21600" o:spt="202" path="m,l,21600r21600,l21600,xe">
            <v:stroke joinstyle="miter"/>
            <v:path gradientshapeok="t" o:connecttype="rect"/>
          </v:shapetype>
          <v:shape id="_x0000_s1026" type="#_x0000_t202" style="position:absolute;margin-left:331.65pt;margin-top:49.25pt;width:170.75pt;height:33.75pt;z-index:251660288" stroked="f">
            <v:textbox>
              <w:txbxContent>
                <w:p w:rsidR="00E73612" w:rsidRPr="002A5756" w:rsidRDefault="00E73612">
                  <w:pPr>
                    <w:rPr>
                      <w:sz w:val="20"/>
                    </w:rPr>
                  </w:pPr>
                  <w:r w:rsidRPr="002A5756">
                    <w:rPr>
                      <w:i/>
                      <w:iCs/>
                      <w:color w:val="000000"/>
                      <w:sz w:val="18"/>
                      <w:szCs w:val="20"/>
                    </w:rPr>
                    <w:t>nota: il link dell’immagine riporta al resoconto completo della seduta</w:t>
                  </w:r>
                </w:p>
              </w:txbxContent>
            </v:textbox>
          </v:shape>
        </w:pict>
      </w:r>
      <w:r w:rsidR="00577A90">
        <w:rPr>
          <w:rFonts w:ascii="Times New Roman" w:eastAsia="Times New Roman" w:hAnsi="Times New Roman" w:cs="Times New Roman"/>
        </w:rPr>
        <w:t xml:space="preserve">                                   </w:t>
      </w:r>
      <w:r w:rsidRPr="00E73612">
        <w:rPr>
          <w:rFonts w:ascii="Times New Roman" w:eastAsia="Times New Roman" w:hAnsi="Times New Roman" w:cs="Times New Roman"/>
        </w:rPr>
        <w:drawing>
          <wp:inline distT="114300" distB="114300" distL="114300" distR="114300">
            <wp:extent cx="2760508" cy="966178"/>
            <wp:effectExtent l="19050" t="0" r="1742" b="0"/>
            <wp:docPr id="5" name="image2.png">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760508" cy="966178"/>
                    </a:xfrm>
                    <a:prstGeom prst="rect">
                      <a:avLst/>
                    </a:prstGeom>
                    <a:ln/>
                  </pic:spPr>
                </pic:pic>
              </a:graphicData>
            </a:graphic>
          </wp:inline>
        </w:drawing>
      </w:r>
      <w:r w:rsidR="0099404E">
        <w:fldChar w:fldCharType="begin"/>
      </w:r>
      <w:r w:rsidR="0099404E">
        <w:instrText>HYPERLINK "https://www.senato.it/service/PDF/PDFServer/BGT/332284.pdf" \h</w:instrText>
      </w:r>
      <w:r w:rsidR="0099404E">
        <w:fldChar w:fldCharType="separate"/>
      </w:r>
      <w:r w:rsidR="0099404E">
        <w:fldChar w:fldCharType="end"/>
      </w:r>
    </w:p>
    <w:p w:rsidR="0099404E" w:rsidRPr="00E73612" w:rsidRDefault="00577A90">
      <w:pPr>
        <w:pStyle w:val="normal"/>
        <w:spacing w:before="200" w:line="300" w:lineRule="auto"/>
        <w:rPr>
          <w:rFonts w:ascii="Times New Roman" w:eastAsia="Times New Roman" w:hAnsi="Times New Roman" w:cs="Times New Roman"/>
          <w:szCs w:val="24"/>
        </w:rPr>
      </w:pPr>
      <w:r w:rsidRPr="00E73612">
        <w:rPr>
          <w:rFonts w:ascii="Times New Roman" w:eastAsia="Times New Roman" w:hAnsi="Times New Roman" w:cs="Times New Roman"/>
          <w:szCs w:val="24"/>
        </w:rPr>
        <w:t xml:space="preserve">Questo che segue, è uno stralcio del discorso tenuto dall’avvocato Gianfilippo Benedetti, anche lui un </w:t>
      </w:r>
      <w:r w:rsidR="00693F36" w:rsidRPr="00E73612">
        <w:rPr>
          <w:rFonts w:ascii="Times New Roman" w:eastAsia="Times New Roman" w:hAnsi="Times New Roman" w:cs="Times New Roman"/>
          <w:szCs w:val="24"/>
        </w:rPr>
        <w:t>po’</w:t>
      </w:r>
      <w:r w:rsidRPr="00E73612">
        <w:rPr>
          <w:rFonts w:ascii="Times New Roman" w:eastAsia="Times New Roman" w:hAnsi="Times New Roman" w:cs="Times New Roman"/>
          <w:szCs w:val="24"/>
        </w:rPr>
        <w:t xml:space="preserve"> di fretta (PCI, membro anche della “Commissione parlamentare d'inchiesta sulla strage di Via Fani, sul sequestro e l' assassinio di Aldo Moro e sul t</w:t>
      </w:r>
      <w:r w:rsidRPr="00E73612">
        <w:rPr>
          <w:rFonts w:ascii="Times New Roman" w:eastAsia="Times New Roman" w:hAnsi="Times New Roman" w:cs="Times New Roman"/>
          <w:szCs w:val="24"/>
        </w:rPr>
        <w:t>errorismo in Italia”).</w:t>
      </w:r>
    </w:p>
    <w:p w:rsidR="002A5756" w:rsidRDefault="00577A90">
      <w:pPr>
        <w:pStyle w:val="normal"/>
        <w:spacing w:line="300" w:lineRule="auto"/>
        <w:rPr>
          <w:rFonts w:ascii="Times New Roman" w:eastAsia="Times New Roman" w:hAnsi="Times New Roman" w:cs="Times New Roman"/>
          <w:szCs w:val="24"/>
        </w:rPr>
      </w:pPr>
      <w:r w:rsidRPr="00E73612">
        <w:rPr>
          <w:rFonts w:ascii="Times New Roman" w:eastAsia="Times New Roman" w:hAnsi="Times New Roman" w:cs="Times New Roman"/>
          <w:szCs w:val="24"/>
        </w:rPr>
        <w:t xml:space="preserve">L’intervento è interessante e le parole adatte al tema trattato, fino a quando abrogare leggi barbariche, patriarcali e che non riconoscono la donna come pari dell’uomo, anche lei dotata di diritti (e doveri) </w:t>
      </w:r>
      <w:r w:rsidR="002A5756">
        <w:rPr>
          <w:rFonts w:ascii="Times New Roman" w:eastAsia="Times New Roman" w:hAnsi="Times New Roman" w:cs="Times New Roman"/>
          <w:szCs w:val="24"/>
        </w:rPr>
        <w:t xml:space="preserve">è necessario </w:t>
      </w:r>
      <w:r w:rsidRPr="00E73612">
        <w:rPr>
          <w:rFonts w:ascii="Times New Roman" w:eastAsia="Times New Roman" w:hAnsi="Times New Roman" w:cs="Times New Roman"/>
          <w:szCs w:val="24"/>
        </w:rPr>
        <w:t>poiché «…</w:t>
      </w:r>
      <w:r w:rsidRPr="00E73612">
        <w:rPr>
          <w:rFonts w:ascii="Times New Roman" w:eastAsia="Times New Roman" w:hAnsi="Times New Roman" w:cs="Times New Roman"/>
          <w:szCs w:val="24"/>
        </w:rPr>
        <w:t xml:space="preserve">in armonia con le nuove acquisizioni del costume» e </w:t>
      </w:r>
      <w:r w:rsidR="00693F36" w:rsidRPr="00E73612">
        <w:rPr>
          <w:rFonts w:ascii="Times New Roman" w:eastAsia="Times New Roman" w:hAnsi="Times New Roman" w:cs="Times New Roman"/>
          <w:szCs w:val="24"/>
        </w:rPr>
        <w:t>perché</w:t>
      </w:r>
      <w:r w:rsidRPr="00E73612">
        <w:rPr>
          <w:rFonts w:ascii="Times New Roman" w:eastAsia="Times New Roman" w:hAnsi="Times New Roman" w:cs="Times New Roman"/>
          <w:szCs w:val="24"/>
        </w:rPr>
        <w:t xml:space="preserve"> anche la Chiesa Cattolica si era modernizzato in fatto di “unioni irregolari”. </w:t>
      </w:r>
    </w:p>
    <w:p w:rsidR="0099404E" w:rsidRPr="00E73612" w:rsidRDefault="00577A90">
      <w:pPr>
        <w:pStyle w:val="normal"/>
        <w:spacing w:line="300" w:lineRule="auto"/>
        <w:rPr>
          <w:rFonts w:ascii="Times New Roman" w:eastAsia="Times New Roman" w:hAnsi="Times New Roman" w:cs="Times New Roman"/>
          <w:szCs w:val="24"/>
        </w:rPr>
      </w:pPr>
      <w:r w:rsidRPr="00E73612">
        <w:rPr>
          <w:rFonts w:ascii="Times New Roman" w:eastAsia="Times New Roman" w:hAnsi="Times New Roman" w:cs="Times New Roman"/>
          <w:szCs w:val="24"/>
        </w:rPr>
        <w:t>Nascondersi dietro al costume e agli usi non giustifica né spiega la presenza di queste leggi nel nostro</w:t>
      </w:r>
      <w:r w:rsidRPr="00E73612">
        <w:rPr>
          <w:rFonts w:ascii="Times New Roman" w:eastAsia="Times New Roman" w:hAnsi="Times New Roman" w:cs="Times New Roman"/>
          <w:szCs w:val="24"/>
        </w:rPr>
        <w:t xml:space="preserve"> Codice. Negli</w:t>
      </w:r>
      <w:r w:rsidRPr="00E73612">
        <w:rPr>
          <w:rFonts w:ascii="Times New Roman" w:eastAsia="Times New Roman" w:hAnsi="Times New Roman" w:cs="Times New Roman"/>
          <w:szCs w:val="24"/>
        </w:rPr>
        <w:t xml:space="preserve"> anni ‘80 il termine </w:t>
      </w:r>
      <w:r w:rsidR="002A5756">
        <w:rPr>
          <w:rFonts w:ascii="Times New Roman" w:eastAsia="Times New Roman" w:hAnsi="Times New Roman" w:cs="Times New Roman"/>
          <w:szCs w:val="24"/>
        </w:rPr>
        <w:t xml:space="preserve">“unione irregolare” </w:t>
      </w:r>
      <w:r w:rsidRPr="00E73612">
        <w:rPr>
          <w:rFonts w:ascii="Times New Roman" w:eastAsia="Times New Roman" w:hAnsi="Times New Roman" w:cs="Times New Roman"/>
          <w:szCs w:val="24"/>
        </w:rPr>
        <w:t xml:space="preserve">non si riferiva o includeva le coppie formate da persone dello stesso sesso ma: </w:t>
      </w:r>
    </w:p>
    <w:p w:rsidR="0099404E" w:rsidRPr="00E73612" w:rsidRDefault="00577A90">
      <w:pPr>
        <w:pStyle w:val="normal"/>
        <w:numPr>
          <w:ilvl w:val="0"/>
          <w:numId w:val="1"/>
        </w:numPr>
        <w:spacing w:line="300" w:lineRule="auto"/>
        <w:rPr>
          <w:rFonts w:ascii="Times New Roman" w:eastAsia="Times New Roman" w:hAnsi="Times New Roman" w:cs="Times New Roman"/>
          <w:szCs w:val="24"/>
        </w:rPr>
      </w:pPr>
      <w:r w:rsidRPr="00E73612">
        <w:rPr>
          <w:rFonts w:ascii="Times New Roman" w:eastAsia="Times New Roman" w:hAnsi="Times New Roman" w:cs="Times New Roman"/>
          <w:szCs w:val="24"/>
        </w:rPr>
        <w:t>uomo e donna divorziati ma risposati,</w:t>
      </w:r>
    </w:p>
    <w:p w:rsidR="0099404E" w:rsidRPr="00E73612" w:rsidRDefault="00577A90">
      <w:pPr>
        <w:pStyle w:val="normal"/>
        <w:numPr>
          <w:ilvl w:val="0"/>
          <w:numId w:val="1"/>
        </w:numPr>
        <w:spacing w:line="300" w:lineRule="auto"/>
        <w:rPr>
          <w:rFonts w:ascii="Times New Roman" w:eastAsia="Times New Roman" w:hAnsi="Times New Roman" w:cs="Times New Roman"/>
          <w:szCs w:val="24"/>
        </w:rPr>
      </w:pPr>
      <w:r w:rsidRPr="00E73612">
        <w:rPr>
          <w:rFonts w:ascii="Times New Roman" w:eastAsia="Times New Roman" w:hAnsi="Times New Roman" w:cs="Times New Roman"/>
          <w:szCs w:val="24"/>
        </w:rPr>
        <w:t>uomo e donna sposati solo civilmente,</w:t>
      </w:r>
    </w:p>
    <w:p w:rsidR="0099404E" w:rsidRPr="00E73612" w:rsidRDefault="00577A90">
      <w:pPr>
        <w:pStyle w:val="normal"/>
        <w:numPr>
          <w:ilvl w:val="0"/>
          <w:numId w:val="1"/>
        </w:numPr>
        <w:spacing w:line="300" w:lineRule="auto"/>
        <w:rPr>
          <w:rFonts w:ascii="Times New Roman" w:eastAsia="Times New Roman" w:hAnsi="Times New Roman" w:cs="Times New Roman"/>
          <w:szCs w:val="24"/>
        </w:rPr>
      </w:pPr>
      <w:r w:rsidRPr="00E73612">
        <w:rPr>
          <w:rFonts w:ascii="Times New Roman" w:eastAsia="Times New Roman" w:hAnsi="Times New Roman" w:cs="Times New Roman"/>
          <w:szCs w:val="24"/>
        </w:rPr>
        <w:t xml:space="preserve">uomo e donna conviventi ma non sposati. </w:t>
      </w:r>
    </w:p>
    <w:p w:rsidR="0099404E" w:rsidRPr="00E73612" w:rsidRDefault="00577A90" w:rsidP="00E73612">
      <w:pPr>
        <w:pStyle w:val="normal"/>
        <w:spacing w:after="240" w:line="300" w:lineRule="auto"/>
        <w:rPr>
          <w:rFonts w:ascii="Times New Roman" w:eastAsia="Times New Roman" w:hAnsi="Times New Roman" w:cs="Times New Roman"/>
          <w:szCs w:val="24"/>
        </w:rPr>
      </w:pPr>
      <w:r w:rsidRPr="00E73612">
        <w:rPr>
          <w:rFonts w:ascii="Times New Roman" w:eastAsia="Times New Roman" w:hAnsi="Times New Roman" w:cs="Times New Roman"/>
          <w:szCs w:val="24"/>
        </w:rPr>
        <w:t xml:space="preserve">A distanza di 40 anni, è opinabile (ma credo e spero che lo fosse anche negli anni ‘80) paragonare un matrimonio d’amore svolto “in Comune” a un matrimonio non consensuale e forzato, conseguente a un rapimento e/o uno stupro, celebrato </w:t>
      </w:r>
      <w:r w:rsidR="002A5756" w:rsidRPr="00E73612">
        <w:rPr>
          <w:rFonts w:ascii="Times New Roman" w:eastAsia="Times New Roman" w:hAnsi="Times New Roman" w:cs="Times New Roman"/>
          <w:szCs w:val="24"/>
        </w:rPr>
        <w:t>necessariamente</w:t>
      </w:r>
      <w:r w:rsidRPr="00E73612">
        <w:rPr>
          <w:rFonts w:ascii="Times New Roman" w:eastAsia="Times New Roman" w:hAnsi="Times New Roman" w:cs="Times New Roman"/>
          <w:szCs w:val="24"/>
        </w:rPr>
        <w:t xml:space="preserve"> ed es</w:t>
      </w:r>
      <w:r w:rsidRPr="00E73612">
        <w:rPr>
          <w:rFonts w:ascii="Times New Roman" w:eastAsia="Times New Roman" w:hAnsi="Times New Roman" w:cs="Times New Roman"/>
          <w:szCs w:val="24"/>
        </w:rPr>
        <w:t>clusivamente per riparare l’onore della famiglia della donna ed evitare così qualsiasi condanna (morale per la donna e penale per il marito-stupratore).</w:t>
      </w:r>
    </w:p>
    <w:tbl>
      <w:tblPr>
        <w:tblStyle w:val="a0"/>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206"/>
      </w:tblGrid>
      <w:tr w:rsidR="0099404E">
        <w:trPr>
          <w:cantSplit/>
          <w:tblHeader/>
        </w:trPr>
        <w:tc>
          <w:tcPr>
            <w:tcW w:w="10206" w:type="dxa"/>
            <w:shd w:val="clear" w:color="auto" w:fill="auto"/>
            <w:tcMar>
              <w:top w:w="100" w:type="dxa"/>
              <w:left w:w="100" w:type="dxa"/>
              <w:bottom w:w="100" w:type="dxa"/>
              <w:right w:w="100" w:type="dxa"/>
            </w:tcMar>
          </w:tcPr>
          <w:p w:rsidR="0099404E" w:rsidRDefault="00577A90">
            <w:pPr>
              <w:pStyle w:val="normal"/>
              <w:jc w:val="center"/>
            </w:pPr>
            <w:r>
              <w:t>Senato della Repubblica -  VIII Legislatura - 131" SEDUTA (</w:t>
            </w:r>
            <w:proofErr w:type="spellStart"/>
            <w:r>
              <w:t>pomerid</w:t>
            </w:r>
            <w:proofErr w:type="spellEnd"/>
            <w:r>
              <w:t xml:space="preserve">.) </w:t>
            </w:r>
          </w:p>
          <w:p w:rsidR="0099404E" w:rsidRDefault="00577A90">
            <w:pPr>
              <w:pStyle w:val="normal"/>
              <w:jc w:val="center"/>
            </w:pPr>
            <w:r>
              <w:t>ASSEMBLEA - RESOCONTO STENOGRAFI</w:t>
            </w:r>
            <w:r>
              <w:t>CO - 15 MAGGIO 1980</w:t>
            </w:r>
          </w:p>
          <w:p w:rsidR="0099404E" w:rsidRDefault="00577A90">
            <w:pPr>
              <w:pStyle w:val="normal"/>
            </w:pPr>
            <w:r>
              <w:t>[BENEDETTI (PCI) … pag. 6973]</w:t>
            </w:r>
          </w:p>
          <w:p w:rsidR="0099404E" w:rsidRDefault="00577A90">
            <w:pPr>
              <w:pStyle w:val="normal"/>
              <w:spacing w:before="200"/>
            </w:pPr>
            <w:r>
              <w:t>“Ecco allora la causa d'onore come incrostazione sociale e non come fatto interiore; un vero e proprio diritto barbarico alla vendetta sessuale, un qualcosa che si configura come valore etico - direi disval</w:t>
            </w:r>
            <w:r>
              <w:t>ore - di un altro ordinamento di fronte al quale l'ordinamento della Stato si pone in una posizione di contrattazione e di patteggiamento. Lo Stato scende a patti con questo costume arcaico e barbarico.</w:t>
            </w:r>
          </w:p>
          <w:p w:rsidR="0099404E" w:rsidRDefault="00577A90">
            <w:pPr>
              <w:pStyle w:val="normal"/>
            </w:pPr>
            <w:r>
              <w:t>Il primo punto politico è quindi l'abrogazione di que</w:t>
            </w:r>
            <w:r>
              <w:t>sta norma per la quale la donna è sempre colpevole perché è ritenuta illegittima la relazione carnale della donna, anche se nubile e maggiorenne. [...]</w:t>
            </w:r>
          </w:p>
          <w:p w:rsidR="0099404E" w:rsidRDefault="00577A90">
            <w:pPr>
              <w:pStyle w:val="normal"/>
            </w:pPr>
            <w:r>
              <w:t>Lo stesso discorso vale per il cosiddetto matrimonio riparatore. Questo è il secondo punto politico: nec</w:t>
            </w:r>
            <w:r>
              <w:t xml:space="preserve">essità dell'abrogazione perché anche qui vi è una equiparazione tra donna e colpa. La donna ha subìto la violenza ed è perciò stesso colpevole e, se vuole essere liberata dalla colpa, deve accettare il matrimonio riparatore subendo magari una successiva e </w:t>
            </w:r>
            <w:r>
              <w:t>ancora più grave violenza. [...]  Su questo è</w:t>
            </w:r>
          </w:p>
          <w:p w:rsidR="0099404E" w:rsidRDefault="00577A90">
            <w:pPr>
              <w:pStyle w:val="normal"/>
            </w:pPr>
            <w:r>
              <w:t>aperto il dibattito e  il permanere di simili norme rappresenta quella ulteriore zona nella quale in sostanza l’ordinamento fa l'occhiolino all'autore della violenza.</w:t>
            </w:r>
          </w:p>
          <w:p w:rsidR="0099404E" w:rsidRDefault="00577A90">
            <w:pPr>
              <w:pStyle w:val="normal"/>
            </w:pPr>
            <w:r>
              <w:t xml:space="preserve">Vorrei dire rapidamente - il tempo stringe </w:t>
            </w:r>
            <w:r>
              <w:t>- che questa abrogazione è in armonia con le nuove acquisizioni del costume e della legge in tema di famiglia. Pensiamo a quanta attenzione la Chiesa cattolica da alcuni anni a questa parte ha dedicato alle cosiddette unioni irregolari.”</w:t>
            </w:r>
          </w:p>
        </w:tc>
      </w:tr>
    </w:tbl>
    <w:p w:rsidR="002A5756" w:rsidRDefault="002A5756">
      <w:pPr>
        <w:pStyle w:val="normal"/>
        <w:spacing w:before="200" w:after="200" w:line="300" w:lineRule="auto"/>
        <w:rPr>
          <w:rFonts w:ascii="Times New Roman" w:eastAsia="Times New Roman" w:hAnsi="Times New Roman" w:cs="Times New Roman"/>
          <w:szCs w:val="24"/>
        </w:rPr>
      </w:pPr>
    </w:p>
    <w:p w:rsidR="0099404E" w:rsidRPr="002A5756" w:rsidRDefault="00577A90">
      <w:pPr>
        <w:pStyle w:val="normal"/>
        <w:spacing w:before="200" w:after="200" w:line="300" w:lineRule="auto"/>
        <w:rPr>
          <w:rFonts w:ascii="Times New Roman" w:eastAsia="Times New Roman" w:hAnsi="Times New Roman" w:cs="Times New Roman"/>
          <w:sz w:val="20"/>
        </w:rPr>
      </w:pPr>
      <w:r w:rsidRPr="002A5756">
        <w:rPr>
          <w:rFonts w:ascii="Times New Roman" w:eastAsia="Times New Roman" w:hAnsi="Times New Roman" w:cs="Times New Roman"/>
          <w:szCs w:val="24"/>
        </w:rPr>
        <w:lastRenderedPageBreak/>
        <w:t xml:space="preserve">Interessante e tutt'oggi attuale è l’intervento della senatrice Ravaioli Carla, che pone il dubbio sulla possibilità di un effettivo cambiamento in un codice così fortemente sessista e patriarcale: </w:t>
      </w:r>
    </w:p>
    <w:tbl>
      <w:tblPr>
        <w:tblStyle w:val="a1"/>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206"/>
      </w:tblGrid>
      <w:tr w:rsidR="0099404E">
        <w:trPr>
          <w:cantSplit/>
          <w:tblHeader/>
        </w:trPr>
        <w:tc>
          <w:tcPr>
            <w:tcW w:w="10206" w:type="dxa"/>
            <w:shd w:val="clear" w:color="auto" w:fill="auto"/>
            <w:tcMar>
              <w:top w:w="100" w:type="dxa"/>
              <w:left w:w="100" w:type="dxa"/>
              <w:bottom w:w="100" w:type="dxa"/>
              <w:right w:w="100" w:type="dxa"/>
            </w:tcMar>
          </w:tcPr>
          <w:p w:rsidR="0099404E" w:rsidRDefault="00577A90">
            <w:pPr>
              <w:pStyle w:val="normal"/>
              <w:spacing w:before="200"/>
              <w:rPr>
                <w:rFonts w:ascii="Times New Roman" w:eastAsia="Times New Roman" w:hAnsi="Times New Roman" w:cs="Times New Roman"/>
              </w:rPr>
            </w:pPr>
            <w:r>
              <w:t>“In secondo luogo mi domandavo - ed evidentemente il dubb</w:t>
            </w:r>
            <w:r>
              <w:t xml:space="preserve">io ha sfiorato anche altri, ne accennava anche il collega </w:t>
            </w:r>
            <w:proofErr w:type="spellStart"/>
            <w:r>
              <w:t>Barsacchi</w:t>
            </w:r>
            <w:proofErr w:type="spellEnd"/>
            <w:r>
              <w:t xml:space="preserve"> - se fosse corretto prendere in esame solo gli articoli del codice che si richiamano alla causa d'onore, stralciandoli dall'intera materia giuridica ancora largamente improntata alla discr</w:t>
            </w:r>
            <w:r>
              <w:t>iminazione sessista ed agli stereotipi della più retriva tradizione patriarcale, materia già fatta oggetto di numerosi organici progetti di legge relativi alla tutela della libertà sessuale (uno dei quali, per iniziativa popolare, da parte dei movimenti fe</w:t>
            </w:r>
            <w:r>
              <w:t>mminili) già presentati in Parlamento e alcuni già in discussione.”</w:t>
            </w:r>
          </w:p>
        </w:tc>
      </w:tr>
    </w:tbl>
    <w:p w:rsidR="0099404E" w:rsidRPr="006D76F2" w:rsidRDefault="00577A90" w:rsidP="00DC43B5">
      <w:pPr>
        <w:pStyle w:val="normal"/>
        <w:spacing w:before="240" w:after="240"/>
        <w:rPr>
          <w:rFonts w:ascii="Times New Roman" w:eastAsia="Times New Roman" w:hAnsi="Times New Roman" w:cs="Times New Roman"/>
          <w:szCs w:val="24"/>
        </w:rPr>
      </w:pPr>
      <w:r w:rsidRPr="006D76F2">
        <w:rPr>
          <w:rFonts w:ascii="Times New Roman" w:eastAsia="Times New Roman" w:hAnsi="Times New Roman" w:cs="Times New Roman"/>
          <w:szCs w:val="24"/>
        </w:rPr>
        <w:t>Credo di poter rispondere alla senatrice Ravaioli affermando con una sufficiente dose di sicurezza che no, non è corretto e non è nemmeno abbastanza. Le tematiche da affrontare, da rifor</w:t>
      </w:r>
      <w:r w:rsidRPr="006D76F2">
        <w:rPr>
          <w:rFonts w:ascii="Times New Roman" w:eastAsia="Times New Roman" w:hAnsi="Times New Roman" w:cs="Times New Roman"/>
          <w:szCs w:val="24"/>
        </w:rPr>
        <w:t>mare e da integrare a tutela della donna (ma non solo) sarebbero centinaia ma poco si è fatto e poco si continua a fare.</w:t>
      </w:r>
    </w:p>
    <w:p w:rsidR="0099404E" w:rsidRDefault="00577A90">
      <w:pPr>
        <w:pStyle w:val="normal"/>
        <w:rPr>
          <w:rFonts w:ascii="Times New Roman" w:eastAsia="Times New Roman" w:hAnsi="Times New Roman" w:cs="Times New Roman"/>
          <w:sz w:val="24"/>
          <w:szCs w:val="24"/>
        </w:rPr>
      </w:pPr>
      <w:r w:rsidRPr="006D76F2">
        <w:rPr>
          <w:rFonts w:ascii="Times New Roman" w:eastAsia="Times New Roman" w:hAnsi="Times New Roman" w:cs="Times New Roman"/>
          <w:szCs w:val="24"/>
        </w:rPr>
        <w:t>Nella prossima pagina tratteremo di due donne che al contrario hanno fatto molto, ognuna nella sua epoca, in modi molto diversi, in so</w:t>
      </w:r>
      <w:r w:rsidRPr="006D76F2">
        <w:rPr>
          <w:rFonts w:ascii="Times New Roman" w:eastAsia="Times New Roman" w:hAnsi="Times New Roman" w:cs="Times New Roman"/>
          <w:szCs w:val="24"/>
        </w:rPr>
        <w:t xml:space="preserve">cietà molto differenti. </w:t>
      </w:r>
      <w:r>
        <w:br w:type="page"/>
      </w:r>
    </w:p>
    <w:p w:rsidR="0099404E" w:rsidRDefault="00577A90">
      <w:pPr>
        <w:pStyle w:val="normal"/>
        <w:rPr>
          <w:rFonts w:ascii="Times New Roman" w:eastAsia="Times New Roman" w:hAnsi="Times New Roman" w:cs="Times New Roman"/>
          <w:sz w:val="24"/>
          <w:szCs w:val="24"/>
        </w:rPr>
      </w:pPr>
      <w:r>
        <w:rPr>
          <w:noProof/>
          <w:lang w:val="it-IT"/>
        </w:rPr>
        <w:lastRenderedPageBreak/>
        <w:drawing>
          <wp:anchor distT="114300" distB="114300" distL="114300" distR="114300" simplePos="0" relativeHeight="251658240" behindDoc="0" locked="0" layoutInCell="1" allowOverlap="1">
            <wp:simplePos x="0" y="0"/>
            <wp:positionH relativeFrom="column">
              <wp:posOffset>19051</wp:posOffset>
            </wp:positionH>
            <wp:positionV relativeFrom="paragraph">
              <wp:posOffset>257175</wp:posOffset>
            </wp:positionV>
            <wp:extent cx="1920144" cy="2520000"/>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1920144" cy="2520000"/>
                    </a:xfrm>
                    <a:prstGeom prst="rect">
                      <a:avLst/>
                    </a:prstGeom>
                    <a:ln/>
                  </pic:spPr>
                </pic:pic>
              </a:graphicData>
            </a:graphic>
          </wp:anchor>
        </w:drawing>
      </w:r>
    </w:p>
    <w:p w:rsidR="0099404E" w:rsidRDefault="0099404E">
      <w:pPr>
        <w:pStyle w:val="normal"/>
        <w:rPr>
          <w:rFonts w:ascii="Times New Roman" w:eastAsia="Times New Roman" w:hAnsi="Times New Roman" w:cs="Times New Roman"/>
          <w:sz w:val="24"/>
          <w:szCs w:val="24"/>
        </w:rPr>
      </w:pPr>
    </w:p>
    <w:p w:rsidR="0099404E" w:rsidRDefault="00577A90">
      <w:pPr>
        <w:pStyle w:val="normal"/>
        <w:spacing w:line="30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Franca Viola</w:t>
      </w:r>
    </w:p>
    <w:p w:rsidR="0099404E" w:rsidRDefault="00577A90">
      <w:pPr>
        <w:pStyle w:val="normal"/>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Famosissima e di importanza fondamentale è la storia di Franca Viola: siciliana di origini, nel 1965 a 17 anni venne rapita e stuprata dall’ex fidanzato Filippo Melodia insieme ad un gruppo di amici. Lo scopo della</w:t>
      </w:r>
      <w:r>
        <w:rPr>
          <w:rFonts w:ascii="Times New Roman" w:eastAsia="Times New Roman" w:hAnsi="Times New Roman" w:cs="Times New Roman"/>
          <w:sz w:val="24"/>
          <w:szCs w:val="24"/>
        </w:rPr>
        <w:t xml:space="preserve"> violenza brutale era convincere Franca a sposarlo e riparare così al danno - da lui arrecato - al suo onore. Sostenuta dal padre e dalla famiglia, rifiutò la proposta riparatrice e denunciò Melodia. Emblema dell'emancipazione femminile, il suo caso scaten</w:t>
      </w:r>
      <w:r>
        <w:rPr>
          <w:rFonts w:ascii="Times New Roman" w:eastAsia="Times New Roman" w:hAnsi="Times New Roman" w:cs="Times New Roman"/>
          <w:sz w:val="24"/>
          <w:szCs w:val="24"/>
        </w:rPr>
        <w:t>ò ampi dibattiti sull’Art. 544 ma solo dal 1996 lo stupro è riconosciuto come un reato «contro la persona» e non più «contro la morale».</w:t>
      </w:r>
    </w:p>
    <w:p w:rsidR="0099404E" w:rsidRDefault="0099404E">
      <w:pPr>
        <w:pStyle w:val="normal"/>
        <w:rPr>
          <w:rFonts w:ascii="Times New Roman" w:eastAsia="Times New Roman" w:hAnsi="Times New Roman" w:cs="Times New Roman"/>
          <w:sz w:val="24"/>
          <w:szCs w:val="24"/>
        </w:rPr>
      </w:pPr>
    </w:p>
    <w:p w:rsidR="0099404E" w:rsidRDefault="0099404E">
      <w:pPr>
        <w:pStyle w:val="normal"/>
        <w:rPr>
          <w:rFonts w:ascii="Times New Roman" w:eastAsia="Times New Roman" w:hAnsi="Times New Roman" w:cs="Times New Roman"/>
          <w:sz w:val="24"/>
          <w:szCs w:val="24"/>
        </w:rPr>
      </w:pPr>
    </w:p>
    <w:p w:rsidR="0099404E" w:rsidRDefault="0099404E">
      <w:pPr>
        <w:pStyle w:val="normal"/>
        <w:rPr>
          <w:rFonts w:ascii="Times New Roman" w:eastAsia="Times New Roman" w:hAnsi="Times New Roman" w:cs="Times New Roman"/>
          <w:sz w:val="24"/>
          <w:szCs w:val="24"/>
        </w:rPr>
      </w:pPr>
    </w:p>
    <w:p w:rsidR="0099404E" w:rsidRDefault="0099404E">
      <w:pPr>
        <w:pStyle w:val="normal"/>
        <w:rPr>
          <w:rFonts w:ascii="Times New Roman" w:eastAsia="Times New Roman" w:hAnsi="Times New Roman" w:cs="Times New Roman"/>
          <w:sz w:val="24"/>
          <w:szCs w:val="24"/>
        </w:rPr>
      </w:pPr>
    </w:p>
    <w:p w:rsidR="0099404E" w:rsidRDefault="00577A90">
      <w:pPr>
        <w:pStyle w:val="normal"/>
        <w:rPr>
          <w:rFonts w:ascii="Times New Roman" w:eastAsia="Times New Roman" w:hAnsi="Times New Roman" w:cs="Times New Roman"/>
          <w:sz w:val="24"/>
          <w:szCs w:val="24"/>
        </w:rPr>
      </w:pPr>
      <w:r>
        <w:rPr>
          <w:noProof/>
          <w:lang w:val="it-IT"/>
        </w:rPr>
        <w:drawing>
          <wp:anchor distT="114300" distB="114300" distL="114300" distR="114300" simplePos="0" relativeHeight="251659264" behindDoc="0" locked="0" layoutInCell="1" allowOverlap="1">
            <wp:simplePos x="0" y="0"/>
            <wp:positionH relativeFrom="column">
              <wp:posOffset>19051</wp:posOffset>
            </wp:positionH>
            <wp:positionV relativeFrom="paragraph">
              <wp:posOffset>169502</wp:posOffset>
            </wp:positionV>
            <wp:extent cx="2160000" cy="2880000"/>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2160000" cy="2880000"/>
                    </a:xfrm>
                    <a:prstGeom prst="rect">
                      <a:avLst/>
                    </a:prstGeom>
                    <a:ln/>
                  </pic:spPr>
                </pic:pic>
              </a:graphicData>
            </a:graphic>
          </wp:anchor>
        </w:drawing>
      </w:r>
    </w:p>
    <w:p w:rsidR="0099404E" w:rsidRDefault="00577A90">
      <w:pPr>
        <w:pStyle w:val="normal"/>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Artemisia Gentileschi</w:t>
      </w:r>
    </w:p>
    <w:p w:rsidR="0099404E" w:rsidRDefault="00577A90">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Ingiusta e sconosciuta è la storia di Artemisia Gentileschi, risalente a molti anni prima, all'inizio del 1600.</w:t>
      </w:r>
    </w:p>
    <w:p w:rsidR="0099404E" w:rsidRDefault="00577A90">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Artemisia Gentileschi era una giovane donna dotata di grande talento per la pittura, figlia di un pittore amico di Caravaggio. </w:t>
      </w:r>
    </w:p>
    <w:p w:rsidR="0099404E" w:rsidRDefault="00577A90">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padre ne rico</w:t>
      </w:r>
      <w:r>
        <w:rPr>
          <w:rFonts w:ascii="Times New Roman" w:eastAsia="Times New Roman" w:hAnsi="Times New Roman" w:cs="Times New Roman"/>
          <w:sz w:val="24"/>
          <w:szCs w:val="24"/>
        </w:rPr>
        <w:t xml:space="preserve">nobbe presto le doti ma poiché le era proibito frequentare i circoli artistici romani in quanto donna, venne affidata ad Agostino Tassi, artista amico del padre, che diventò il suo insegnante di prospettiva. </w:t>
      </w:r>
    </w:p>
    <w:p w:rsidR="0099404E" w:rsidRDefault="00577A90">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Dopo diversi rifiuti da parte di Artemisia, Tas</w:t>
      </w:r>
      <w:r>
        <w:rPr>
          <w:rFonts w:ascii="Times New Roman" w:eastAsia="Times New Roman" w:hAnsi="Times New Roman" w:cs="Times New Roman"/>
          <w:sz w:val="24"/>
          <w:szCs w:val="24"/>
        </w:rPr>
        <w:t>si con l’aiuto di una collega, violentò la ragazza non ancora diciottenne nella casa paterna. In seguito propose al padre di Artemisia il matrimonio, per riparare al disonore arrecato e alle voci che presto si diffusero in città sulla condotta vergognosa d</w:t>
      </w:r>
      <w:r>
        <w:rPr>
          <w:rFonts w:ascii="Times New Roman" w:eastAsia="Times New Roman" w:hAnsi="Times New Roman" w:cs="Times New Roman"/>
          <w:sz w:val="24"/>
          <w:szCs w:val="24"/>
        </w:rPr>
        <w:t xml:space="preserve">ella figlia. I due rimasero fidanzati per circa un anno </w:t>
      </w:r>
      <w:r w:rsidR="00693F36">
        <w:rPr>
          <w:rFonts w:ascii="Times New Roman" w:eastAsia="Times New Roman" w:hAnsi="Times New Roman" w:cs="Times New Roman"/>
          <w:sz w:val="24"/>
          <w:szCs w:val="24"/>
        </w:rPr>
        <w:t>finché</w:t>
      </w:r>
      <w:r>
        <w:rPr>
          <w:rFonts w:ascii="Times New Roman" w:eastAsia="Times New Roman" w:hAnsi="Times New Roman" w:cs="Times New Roman"/>
          <w:sz w:val="24"/>
          <w:szCs w:val="24"/>
        </w:rPr>
        <w:t xml:space="preserve"> la notizia di un precedente matrimonio contratto da Tassi causò la rottura del fidanzamento. Il padre lo denunciò per stupro. Nel lungo processo durato circa 7 mesi, Artemisia venne tortura </w:t>
      </w:r>
      <w:r w:rsidR="00693F36">
        <w:rPr>
          <w:rFonts w:ascii="Times New Roman" w:eastAsia="Times New Roman" w:hAnsi="Times New Roman" w:cs="Times New Roman"/>
          <w:sz w:val="24"/>
          <w:szCs w:val="24"/>
        </w:rPr>
        <w:t>perché</w:t>
      </w:r>
      <w:r>
        <w:rPr>
          <w:rFonts w:ascii="Times New Roman" w:eastAsia="Times New Roman" w:hAnsi="Times New Roman" w:cs="Times New Roman"/>
          <w:sz w:val="24"/>
          <w:szCs w:val="24"/>
        </w:rPr>
        <w:t xml:space="preserve"> secondo la mentalità diffusa era più facile estorcere la verità tramite il dolore. </w:t>
      </w:r>
      <w:proofErr w:type="spellStart"/>
      <w:r>
        <w:rPr>
          <w:rFonts w:ascii="Times New Roman" w:eastAsia="Times New Roman" w:hAnsi="Times New Roman" w:cs="Times New Roman"/>
          <w:sz w:val="24"/>
          <w:szCs w:val="24"/>
        </w:rPr>
        <w:t>Fù</w:t>
      </w:r>
      <w:proofErr w:type="spellEnd"/>
      <w:r>
        <w:rPr>
          <w:rFonts w:ascii="Times New Roman" w:eastAsia="Times New Roman" w:hAnsi="Times New Roman" w:cs="Times New Roman"/>
          <w:sz w:val="24"/>
          <w:szCs w:val="24"/>
        </w:rPr>
        <w:t xml:space="preserve"> costretta alla tortura della sibilla che consisteva nel legare i pollici con delle cordicelle e, con l'azione di un randello, stringerli sempre di più sino a stritola</w:t>
      </w:r>
      <w:r>
        <w:rPr>
          <w:rFonts w:ascii="Times New Roman" w:eastAsia="Times New Roman" w:hAnsi="Times New Roman" w:cs="Times New Roman"/>
          <w:sz w:val="24"/>
          <w:szCs w:val="24"/>
        </w:rPr>
        <w:t>re le falangi. Nonostante il dolore e il rischio che rappresentasse per una pittrice come lei perdere le dita, Artemisia non ritrattò in alcun modo la sua deposizione. Agostino Tassi fu condannato all’esilio da Roma ma grazie alle sue conoscenze non abband</w:t>
      </w:r>
      <w:r>
        <w:rPr>
          <w:rFonts w:ascii="Times New Roman" w:eastAsia="Times New Roman" w:hAnsi="Times New Roman" w:cs="Times New Roman"/>
          <w:sz w:val="24"/>
          <w:szCs w:val="24"/>
        </w:rPr>
        <w:t xml:space="preserve">onò mai realmente la città. Al contrario, Artemisia, umiliata dal processo nonostante il verdetto positivo e dalle maldicenze, sposò un pittore di basso livello per riabilitare il nome della sua famiglia e si trasferì. </w:t>
      </w:r>
    </w:p>
    <w:p w:rsidR="0099404E" w:rsidRDefault="00577A90">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Il suo dipinto più famoso è senz’alt</w:t>
      </w:r>
      <w:r>
        <w:rPr>
          <w:rFonts w:ascii="Times New Roman" w:eastAsia="Times New Roman" w:hAnsi="Times New Roman" w:cs="Times New Roman"/>
          <w:sz w:val="24"/>
          <w:szCs w:val="24"/>
        </w:rPr>
        <w:t xml:space="preserve">ro “Giuditta e Oloferne”, dipinto l’anno del processo, crudo e cupo come può esser stata solo la sua esperienza.  </w:t>
      </w:r>
    </w:p>
    <w:p w:rsidR="0099404E" w:rsidRDefault="0099404E">
      <w:pPr>
        <w:pStyle w:val="normal"/>
        <w:rPr>
          <w:rFonts w:ascii="Times New Roman" w:eastAsia="Times New Roman" w:hAnsi="Times New Roman" w:cs="Times New Roman"/>
        </w:rPr>
      </w:pPr>
    </w:p>
    <w:p w:rsidR="0099404E" w:rsidRDefault="0099404E">
      <w:pPr>
        <w:pStyle w:val="normal"/>
        <w:rPr>
          <w:rFonts w:ascii="Times New Roman" w:eastAsia="Times New Roman" w:hAnsi="Times New Roman" w:cs="Times New Roman"/>
        </w:rPr>
      </w:pPr>
    </w:p>
    <w:p w:rsidR="0099404E" w:rsidRDefault="00577A90">
      <w:pPr>
        <w:pStyle w:val="normal"/>
        <w:rPr>
          <w:rFonts w:ascii="Times New Roman" w:eastAsia="Times New Roman" w:hAnsi="Times New Roman" w:cs="Times New Roman"/>
        </w:rPr>
      </w:pPr>
      <w:r>
        <w:br w:type="page"/>
      </w:r>
    </w:p>
    <w:p w:rsidR="0099404E" w:rsidRDefault="00577A90">
      <w:pPr>
        <w:pStyle w:val="normal"/>
        <w:rPr>
          <w:rFonts w:ascii="Times New Roman" w:eastAsia="Times New Roman" w:hAnsi="Times New Roman" w:cs="Times New Roman"/>
        </w:rPr>
      </w:pPr>
      <w:r>
        <w:rPr>
          <w:rFonts w:ascii="Times New Roman" w:eastAsia="Times New Roman" w:hAnsi="Times New Roman" w:cs="Times New Roman"/>
        </w:rPr>
        <w:lastRenderedPageBreak/>
        <w:t>Sitografia:</w:t>
      </w:r>
    </w:p>
    <w:p w:rsidR="0099404E" w:rsidRDefault="0099404E">
      <w:pPr>
        <w:pStyle w:val="normal"/>
        <w:rPr>
          <w:rFonts w:ascii="Times New Roman" w:eastAsia="Times New Roman" w:hAnsi="Times New Roman" w:cs="Times New Roman"/>
        </w:rPr>
      </w:pPr>
      <w:hyperlink r:id="rId10">
        <w:r w:rsidR="00577A90">
          <w:rPr>
            <w:rFonts w:ascii="Times New Roman" w:eastAsia="Times New Roman" w:hAnsi="Times New Roman" w:cs="Times New Roman"/>
            <w:color w:val="1155CC"/>
            <w:u w:val="single"/>
          </w:rPr>
          <w:t>Giu</w:t>
        </w:r>
        <w:r w:rsidR="00577A90">
          <w:rPr>
            <w:rFonts w:ascii="Times New Roman" w:eastAsia="Times New Roman" w:hAnsi="Times New Roman" w:cs="Times New Roman"/>
            <w:color w:val="1155CC"/>
            <w:u w:val="single"/>
          </w:rPr>
          <w:t xml:space="preserve">ditta e Oloferne - Artemisia Gentileschi — Google </w:t>
        </w:r>
        <w:proofErr w:type="spellStart"/>
        <w:r w:rsidR="00577A90">
          <w:rPr>
            <w:rFonts w:ascii="Times New Roman" w:eastAsia="Times New Roman" w:hAnsi="Times New Roman" w:cs="Times New Roman"/>
            <w:color w:val="1155CC"/>
            <w:u w:val="single"/>
          </w:rPr>
          <w:t>Arts</w:t>
        </w:r>
        <w:proofErr w:type="spellEnd"/>
        <w:r w:rsidR="00577A90">
          <w:rPr>
            <w:rFonts w:ascii="Times New Roman" w:eastAsia="Times New Roman" w:hAnsi="Times New Roman" w:cs="Times New Roman"/>
            <w:color w:val="1155CC"/>
            <w:u w:val="single"/>
          </w:rPr>
          <w:t xml:space="preserve"> &amp; Culture</w:t>
        </w:r>
      </w:hyperlink>
    </w:p>
    <w:p w:rsidR="0099404E" w:rsidRDefault="0099404E">
      <w:pPr>
        <w:pStyle w:val="normal"/>
        <w:rPr>
          <w:rFonts w:ascii="Times New Roman" w:eastAsia="Times New Roman" w:hAnsi="Times New Roman" w:cs="Times New Roman"/>
        </w:rPr>
      </w:pPr>
      <w:hyperlink r:id="rId11">
        <w:r w:rsidR="00577A90">
          <w:rPr>
            <w:rFonts w:ascii="Times New Roman" w:eastAsia="Times New Roman" w:hAnsi="Times New Roman" w:cs="Times New Roman"/>
            <w:color w:val="1155CC"/>
            <w:u w:val="single"/>
          </w:rPr>
          <w:t xml:space="preserve">Artemisia Gentileschi: la Pittrice Torturata per dimostrare il suo </w:t>
        </w:r>
        <w:r w:rsidR="00577A90">
          <w:rPr>
            <w:rFonts w:ascii="Times New Roman" w:eastAsia="Times New Roman" w:hAnsi="Times New Roman" w:cs="Times New Roman"/>
            <w:color w:val="1155CC"/>
            <w:u w:val="single"/>
          </w:rPr>
          <w:t>Stupro – Vanilla Magazine</w:t>
        </w:r>
      </w:hyperlink>
    </w:p>
    <w:p w:rsidR="0099404E" w:rsidRDefault="0099404E">
      <w:pPr>
        <w:pStyle w:val="normal"/>
        <w:rPr>
          <w:rFonts w:ascii="Times New Roman" w:eastAsia="Times New Roman" w:hAnsi="Times New Roman" w:cs="Times New Roman"/>
        </w:rPr>
      </w:pPr>
      <w:hyperlink r:id="rId12" w:anchor="Artemisia_viene_violentata">
        <w:r w:rsidR="00577A90">
          <w:rPr>
            <w:rFonts w:ascii="Times New Roman" w:eastAsia="Times New Roman" w:hAnsi="Times New Roman" w:cs="Times New Roman"/>
            <w:color w:val="1155CC"/>
            <w:u w:val="single"/>
          </w:rPr>
          <w:t>Artemisia Gentileschi - Wikipedia</w:t>
        </w:r>
      </w:hyperlink>
    </w:p>
    <w:p w:rsidR="0099404E" w:rsidRDefault="0099404E">
      <w:pPr>
        <w:pStyle w:val="normal"/>
        <w:rPr>
          <w:rFonts w:ascii="Times New Roman" w:eastAsia="Times New Roman" w:hAnsi="Times New Roman" w:cs="Times New Roman"/>
        </w:rPr>
      </w:pPr>
      <w:hyperlink r:id="rId13">
        <w:r w:rsidR="00577A90">
          <w:rPr>
            <w:rFonts w:ascii="Times New Roman" w:eastAsia="Times New Roman" w:hAnsi="Times New Roman" w:cs="Times New Roman"/>
            <w:color w:val="1155CC"/>
            <w:u w:val="single"/>
          </w:rPr>
          <w:t>Processo ad Agostino Tassi per lo stupro di Artemisia Gentileschi - Wikipedia</w:t>
        </w:r>
      </w:hyperlink>
    </w:p>
    <w:p w:rsidR="0099404E" w:rsidRDefault="0099404E">
      <w:pPr>
        <w:pStyle w:val="normal"/>
        <w:rPr>
          <w:rFonts w:ascii="Times New Roman" w:eastAsia="Times New Roman" w:hAnsi="Times New Roman" w:cs="Times New Roman"/>
          <w:color w:val="1155CC"/>
          <w:u w:val="single"/>
        </w:rPr>
      </w:pPr>
      <w:hyperlink r:id="rId14">
        <w:r w:rsidR="00577A90">
          <w:rPr>
            <w:rFonts w:ascii="Times New Roman" w:eastAsia="Times New Roman" w:hAnsi="Times New Roman" w:cs="Times New Roman"/>
            <w:color w:val="1155CC"/>
            <w:u w:val="single"/>
          </w:rPr>
          <w:t>Artemisi</w:t>
        </w:r>
        <w:r w:rsidR="00577A90">
          <w:rPr>
            <w:rFonts w:ascii="Times New Roman" w:eastAsia="Times New Roman" w:hAnsi="Times New Roman" w:cs="Times New Roman"/>
            <w:color w:val="1155CC"/>
            <w:u w:val="single"/>
          </w:rPr>
          <w:t>a Gentileschi: scopri la sua arte ed il terribile dramma della sua vita</w:t>
        </w:r>
      </w:hyperlink>
    </w:p>
    <w:p w:rsidR="0099404E" w:rsidRDefault="0099404E">
      <w:pPr>
        <w:pStyle w:val="normal"/>
        <w:rPr>
          <w:rFonts w:ascii="Times New Roman" w:eastAsia="Times New Roman" w:hAnsi="Times New Roman" w:cs="Times New Roman"/>
          <w:color w:val="1155CC"/>
          <w:u w:val="single"/>
        </w:rPr>
      </w:pPr>
      <w:hyperlink r:id="rId15">
        <w:r w:rsidR="00577A90">
          <w:rPr>
            <w:rFonts w:ascii="Times New Roman" w:eastAsia="Times New Roman" w:hAnsi="Times New Roman" w:cs="Times New Roman"/>
            <w:color w:val="1155CC"/>
            <w:u w:val="single"/>
          </w:rPr>
          <w:t>Artemisia Gentileschi, vita e opere della grande artista del Se</w:t>
        </w:r>
        <w:r w:rsidR="00577A90">
          <w:rPr>
            <w:rFonts w:ascii="Times New Roman" w:eastAsia="Times New Roman" w:hAnsi="Times New Roman" w:cs="Times New Roman"/>
            <w:color w:val="1155CC"/>
            <w:u w:val="single"/>
          </w:rPr>
          <w:t>icento</w:t>
        </w:r>
      </w:hyperlink>
    </w:p>
    <w:p w:rsidR="0099404E" w:rsidRDefault="0099404E">
      <w:pPr>
        <w:pStyle w:val="normal"/>
        <w:rPr>
          <w:rFonts w:ascii="Times New Roman" w:eastAsia="Times New Roman" w:hAnsi="Times New Roman" w:cs="Times New Roman"/>
          <w:color w:val="1155CC"/>
          <w:u w:val="single"/>
        </w:rPr>
      </w:pPr>
      <w:hyperlink r:id="rId16">
        <w:r w:rsidR="00577A90">
          <w:rPr>
            <w:rFonts w:ascii="Times New Roman" w:eastAsia="Times New Roman" w:hAnsi="Times New Roman" w:cs="Times New Roman"/>
            <w:color w:val="1155CC"/>
            <w:u w:val="single"/>
          </w:rPr>
          <w:t>Franca Viola - Wikipedia</w:t>
        </w:r>
      </w:hyperlink>
    </w:p>
    <w:p w:rsidR="0099404E" w:rsidRDefault="0099404E">
      <w:pPr>
        <w:pStyle w:val="normal"/>
      </w:pPr>
      <w:hyperlink r:id="rId17">
        <w:r w:rsidR="00577A90">
          <w:rPr>
            <w:rFonts w:ascii="Times New Roman" w:eastAsia="Times New Roman" w:hAnsi="Times New Roman" w:cs="Times New Roman"/>
            <w:color w:val="1155CC"/>
            <w:u w:val="single"/>
          </w:rPr>
          <w:t>Franca Viola | enciclopedia delle donne</w:t>
        </w:r>
      </w:hyperlink>
    </w:p>
    <w:p w:rsidR="0099404E" w:rsidRDefault="0099404E">
      <w:pPr>
        <w:pStyle w:val="normal"/>
        <w:rPr>
          <w:rFonts w:ascii="Times New Roman" w:eastAsia="Times New Roman" w:hAnsi="Times New Roman" w:cs="Times New Roman"/>
        </w:rPr>
      </w:pPr>
      <w:hyperlink r:id="rId18">
        <w:r w:rsidR="00577A90">
          <w:rPr>
            <w:rFonts w:ascii="Times New Roman" w:eastAsia="Times New Roman" w:hAnsi="Times New Roman" w:cs="Times New Roman"/>
            <w:color w:val="1155CC"/>
            <w:u w:val="single"/>
          </w:rPr>
          <w:t>Franca Viola: "Io, che 50 anni fa ho fatto la storia con il mio no alle nozze riparatrici" - la Repubblica</w:t>
        </w:r>
      </w:hyperlink>
    </w:p>
    <w:p w:rsidR="0099404E" w:rsidRDefault="0099404E">
      <w:pPr>
        <w:pStyle w:val="normal"/>
        <w:rPr>
          <w:rFonts w:ascii="Times New Roman" w:eastAsia="Times New Roman" w:hAnsi="Times New Roman" w:cs="Times New Roman"/>
        </w:rPr>
      </w:pPr>
      <w:hyperlink r:id="rId19">
        <w:r w:rsidR="00577A90">
          <w:rPr>
            <w:rFonts w:ascii="Times New Roman" w:eastAsia="Times New Roman" w:hAnsi="Times New Roman" w:cs="Times New Roman"/>
            <w:color w:val="1155CC"/>
            <w:u w:val="single"/>
          </w:rPr>
          <w:t>REGIO DECRETO 30 giugno 1889, n. 6133 - Normattiva</w:t>
        </w:r>
      </w:hyperlink>
    </w:p>
    <w:p w:rsidR="0099404E" w:rsidRDefault="0099404E">
      <w:pPr>
        <w:pStyle w:val="normal"/>
        <w:rPr>
          <w:rFonts w:ascii="Times New Roman" w:eastAsia="Times New Roman" w:hAnsi="Times New Roman" w:cs="Times New Roman"/>
        </w:rPr>
      </w:pPr>
      <w:hyperlink r:id="rId20">
        <w:r w:rsidR="00577A90">
          <w:rPr>
            <w:rFonts w:ascii="Times New Roman" w:eastAsia="Times New Roman" w:hAnsi="Times New Roman" w:cs="Times New Roman"/>
            <w:color w:val="1155CC"/>
            <w:u w:val="single"/>
          </w:rPr>
          <w:t>131_RSA.pdf</w:t>
        </w:r>
      </w:hyperlink>
    </w:p>
    <w:p w:rsidR="0099404E" w:rsidRDefault="0099404E">
      <w:pPr>
        <w:pStyle w:val="normal"/>
        <w:rPr>
          <w:rFonts w:ascii="Times New Roman" w:eastAsia="Times New Roman" w:hAnsi="Times New Roman" w:cs="Times New Roman"/>
        </w:rPr>
      </w:pPr>
      <w:hyperlink r:id="rId21" w:anchor=":~:text=%5BChiunque%2C%20fuori%20dei%20casi%20preveduti,sei%20mesi%20a%20tre%20anni.">
        <w:r w:rsidR="00577A90">
          <w:rPr>
            <w:rFonts w:ascii="Times New Roman" w:eastAsia="Times New Roman" w:hAnsi="Times New Roman" w:cs="Times New Roman"/>
            <w:color w:val="1155CC"/>
            <w:u w:val="single"/>
          </w:rPr>
          <w:t>Art. 530 codice penale - Corruzione di minorenni - Brocardi.it</w:t>
        </w:r>
      </w:hyperlink>
    </w:p>
    <w:p w:rsidR="0099404E" w:rsidRDefault="0099404E">
      <w:pPr>
        <w:pStyle w:val="normal"/>
        <w:rPr>
          <w:rFonts w:ascii="Times New Roman" w:eastAsia="Times New Roman" w:hAnsi="Times New Roman" w:cs="Times New Roman"/>
        </w:rPr>
      </w:pPr>
      <w:hyperlink r:id="rId22" w:anchor=":~:text=Articolo%20544%20Codice%20Penale&amp;text=%5BPer%20i%20delitti%20preveduti%20dal,Art.">
        <w:r w:rsidR="00577A90">
          <w:rPr>
            <w:rFonts w:ascii="Times New Roman" w:eastAsia="Times New Roman" w:hAnsi="Times New Roman" w:cs="Times New Roman"/>
            <w:color w:val="1155CC"/>
            <w:u w:val="single"/>
          </w:rPr>
          <w:t>Art. 544 codice penale - Causa speciale di estinzione del reato - Brocardi.it</w:t>
        </w:r>
      </w:hyperlink>
    </w:p>
    <w:p w:rsidR="0099404E" w:rsidRDefault="0099404E">
      <w:pPr>
        <w:pStyle w:val="normal"/>
      </w:pPr>
      <w:hyperlink r:id="rId23">
        <w:proofErr w:type="spellStart"/>
        <w:r w:rsidR="00577A90">
          <w:rPr>
            <w:rFonts w:ascii="Times New Roman" w:eastAsia="Times New Roman" w:hAnsi="Times New Roman" w:cs="Times New Roman"/>
            <w:color w:val="1155CC"/>
            <w:u w:val="single"/>
          </w:rPr>
          <w:t>senato.it</w:t>
        </w:r>
        <w:proofErr w:type="spellEnd"/>
        <w:r w:rsidR="00577A90">
          <w:rPr>
            <w:rFonts w:ascii="Times New Roman" w:eastAsia="Times New Roman" w:hAnsi="Times New Roman" w:cs="Times New Roman"/>
            <w:color w:val="1155CC"/>
            <w:u w:val="single"/>
          </w:rPr>
          <w:t xml:space="preserve"> - Scheda di attività di Gianfilippo BENEDETTI - VIII Legislatura</w:t>
        </w:r>
      </w:hyperlink>
    </w:p>
    <w:p w:rsidR="0099404E" w:rsidRDefault="0099404E">
      <w:pPr>
        <w:pStyle w:val="normal"/>
        <w:rPr>
          <w:rFonts w:ascii="Times New Roman" w:eastAsia="Times New Roman" w:hAnsi="Times New Roman" w:cs="Times New Roman"/>
        </w:rPr>
      </w:pPr>
      <w:hyperlink r:id="rId24">
        <w:r w:rsidR="00577A90">
          <w:rPr>
            <w:rFonts w:ascii="Times New Roman" w:eastAsia="Times New Roman" w:hAnsi="Times New Roman" w:cs="Times New Roman"/>
            <w:color w:val="1155CC"/>
            <w:u w:val="single"/>
          </w:rPr>
          <w:t xml:space="preserve">REGIO DECRETO 19 ottobre 1930, </w:t>
        </w:r>
        <w:r w:rsidR="00577A90">
          <w:rPr>
            <w:rFonts w:ascii="Times New Roman" w:eastAsia="Times New Roman" w:hAnsi="Times New Roman" w:cs="Times New Roman"/>
            <w:color w:val="1155CC"/>
            <w:u w:val="single"/>
          </w:rPr>
          <w:t>n. 1398 - Normattiva</w:t>
        </w:r>
      </w:hyperlink>
    </w:p>
    <w:p w:rsidR="0099404E" w:rsidRDefault="0099404E">
      <w:pPr>
        <w:pStyle w:val="normal"/>
        <w:rPr>
          <w:rFonts w:ascii="Times New Roman" w:eastAsia="Times New Roman" w:hAnsi="Times New Roman" w:cs="Times New Roman"/>
        </w:rPr>
      </w:pPr>
      <w:hyperlink r:id="rId25">
        <w:r w:rsidR="00577A90">
          <w:rPr>
            <w:rFonts w:ascii="Times New Roman" w:eastAsia="Times New Roman" w:hAnsi="Times New Roman" w:cs="Times New Roman"/>
            <w:color w:val="1155CC"/>
            <w:u w:val="single"/>
          </w:rPr>
          <w:t>Le situazioni matrimoniali irregolari</w:t>
        </w:r>
      </w:hyperlink>
    </w:p>
    <w:sectPr w:rsidR="0099404E" w:rsidSect="0099404E">
      <w:pgSz w:w="11906" w:h="16838"/>
      <w:pgMar w:top="850" w:right="850" w:bottom="850" w:left="85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A7BA3"/>
    <w:multiLevelType w:val="multilevel"/>
    <w:tmpl w:val="B750F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20"/>
  <w:hyphenationZone w:val="283"/>
  <w:characterSpacingControl w:val="doNotCompress"/>
  <w:compat/>
  <w:rsids>
    <w:rsidRoot w:val="0099404E"/>
    <w:rsid w:val="002A5756"/>
    <w:rsid w:val="00577A90"/>
    <w:rsid w:val="00693F36"/>
    <w:rsid w:val="006D76F2"/>
    <w:rsid w:val="0099404E"/>
    <w:rsid w:val="00DC43B5"/>
    <w:rsid w:val="00E736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99404E"/>
    <w:pPr>
      <w:keepNext/>
      <w:keepLines/>
      <w:spacing w:before="400" w:after="120"/>
      <w:outlineLvl w:val="0"/>
    </w:pPr>
    <w:rPr>
      <w:sz w:val="40"/>
      <w:szCs w:val="40"/>
    </w:rPr>
  </w:style>
  <w:style w:type="paragraph" w:styleId="Titolo2">
    <w:name w:val="heading 2"/>
    <w:basedOn w:val="normal"/>
    <w:next w:val="normal"/>
    <w:rsid w:val="0099404E"/>
    <w:pPr>
      <w:keepNext/>
      <w:keepLines/>
      <w:spacing w:before="360" w:after="120"/>
      <w:outlineLvl w:val="1"/>
    </w:pPr>
    <w:rPr>
      <w:sz w:val="32"/>
      <w:szCs w:val="32"/>
    </w:rPr>
  </w:style>
  <w:style w:type="paragraph" w:styleId="Titolo3">
    <w:name w:val="heading 3"/>
    <w:basedOn w:val="normal"/>
    <w:next w:val="normal"/>
    <w:rsid w:val="0099404E"/>
    <w:pPr>
      <w:keepNext/>
      <w:keepLines/>
      <w:spacing w:before="320" w:after="80"/>
      <w:outlineLvl w:val="2"/>
    </w:pPr>
    <w:rPr>
      <w:color w:val="434343"/>
      <w:sz w:val="28"/>
      <w:szCs w:val="28"/>
    </w:rPr>
  </w:style>
  <w:style w:type="paragraph" w:styleId="Titolo4">
    <w:name w:val="heading 4"/>
    <w:basedOn w:val="normal"/>
    <w:next w:val="normal"/>
    <w:rsid w:val="0099404E"/>
    <w:pPr>
      <w:keepNext/>
      <w:keepLines/>
      <w:spacing w:before="280" w:after="80"/>
      <w:outlineLvl w:val="3"/>
    </w:pPr>
    <w:rPr>
      <w:color w:val="666666"/>
      <w:sz w:val="24"/>
      <w:szCs w:val="24"/>
    </w:rPr>
  </w:style>
  <w:style w:type="paragraph" w:styleId="Titolo5">
    <w:name w:val="heading 5"/>
    <w:basedOn w:val="normal"/>
    <w:next w:val="normal"/>
    <w:rsid w:val="0099404E"/>
    <w:pPr>
      <w:keepNext/>
      <w:keepLines/>
      <w:spacing w:before="240" w:after="80"/>
      <w:outlineLvl w:val="4"/>
    </w:pPr>
    <w:rPr>
      <w:color w:val="666666"/>
    </w:rPr>
  </w:style>
  <w:style w:type="paragraph" w:styleId="Titolo6">
    <w:name w:val="heading 6"/>
    <w:basedOn w:val="normal"/>
    <w:next w:val="normal"/>
    <w:rsid w:val="0099404E"/>
    <w:pPr>
      <w:keepNext/>
      <w:keepLines/>
      <w:spacing w:before="240" w:after="80"/>
      <w:outlineLvl w:val="5"/>
    </w:pPr>
    <w:rPr>
      <w:i/>
      <w:color w:val="666666"/>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9404E"/>
  </w:style>
  <w:style w:type="table" w:customStyle="1" w:styleId="TableNormal">
    <w:name w:val="Table Normal"/>
    <w:rsid w:val="0099404E"/>
    <w:tblPr>
      <w:tblCellMar>
        <w:top w:w="0" w:type="dxa"/>
        <w:left w:w="0" w:type="dxa"/>
        <w:bottom w:w="0" w:type="dxa"/>
        <w:right w:w="0" w:type="dxa"/>
      </w:tblCellMar>
    </w:tblPr>
  </w:style>
  <w:style w:type="paragraph" w:styleId="Titolo">
    <w:name w:val="Title"/>
    <w:basedOn w:val="normal"/>
    <w:next w:val="normal"/>
    <w:rsid w:val="0099404E"/>
    <w:pPr>
      <w:keepNext/>
      <w:keepLines/>
      <w:spacing w:after="60"/>
    </w:pPr>
    <w:rPr>
      <w:sz w:val="52"/>
      <w:szCs w:val="52"/>
    </w:rPr>
  </w:style>
  <w:style w:type="paragraph" w:styleId="Sottotitolo">
    <w:name w:val="Subtitle"/>
    <w:basedOn w:val="normal"/>
    <w:next w:val="normal"/>
    <w:rsid w:val="0099404E"/>
    <w:pPr>
      <w:keepNext/>
      <w:keepLines/>
      <w:spacing w:after="320"/>
    </w:pPr>
    <w:rPr>
      <w:color w:val="666666"/>
      <w:sz w:val="30"/>
      <w:szCs w:val="30"/>
    </w:rPr>
  </w:style>
  <w:style w:type="table" w:customStyle="1" w:styleId="a">
    <w:basedOn w:val="TableNormal"/>
    <w:rsid w:val="0099404E"/>
    <w:tblPr>
      <w:tblStyleRowBandSize w:val="1"/>
      <w:tblStyleColBandSize w:val="1"/>
      <w:tblCellMar>
        <w:top w:w="100" w:type="dxa"/>
        <w:left w:w="100" w:type="dxa"/>
        <w:bottom w:w="100" w:type="dxa"/>
        <w:right w:w="100" w:type="dxa"/>
      </w:tblCellMar>
    </w:tblPr>
  </w:style>
  <w:style w:type="table" w:customStyle="1" w:styleId="a0">
    <w:basedOn w:val="TableNormal"/>
    <w:rsid w:val="0099404E"/>
    <w:tblPr>
      <w:tblStyleRowBandSize w:val="1"/>
      <w:tblStyleColBandSize w:val="1"/>
      <w:tblCellMar>
        <w:top w:w="100" w:type="dxa"/>
        <w:left w:w="100" w:type="dxa"/>
        <w:bottom w:w="100" w:type="dxa"/>
        <w:right w:w="100" w:type="dxa"/>
      </w:tblCellMar>
    </w:tblPr>
  </w:style>
  <w:style w:type="table" w:customStyle="1" w:styleId="a1">
    <w:basedOn w:val="TableNormal"/>
    <w:rsid w:val="0099404E"/>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693F3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3F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wikipedia.org/wiki/Processo_ad_Agostino_Tassi_per_lo_stupro_di_Artemisia_Gentileschi" TargetMode="External"/><Relationship Id="rId18" Type="http://schemas.openxmlformats.org/officeDocument/2006/relationships/hyperlink" Target="https://www.repubblica.it/cronaca/2015/12/27/news/_io_che_50_anni_fa_ho_fatto_la_storia_con_il_mio_no_alle_nozze_riparatrici_-130210807/?refresh_c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rocardi.it/codice-penale/libro-secondo/titolo-ix/capo-ii/art530.html" TargetMode="External"/><Relationship Id="rId7" Type="http://schemas.openxmlformats.org/officeDocument/2006/relationships/image" Target="media/image1.png"/><Relationship Id="rId12" Type="http://schemas.openxmlformats.org/officeDocument/2006/relationships/hyperlink" Target="https://it.wikipedia.org/wiki/Artemisia_Gentileschi" TargetMode="External"/><Relationship Id="rId17" Type="http://schemas.openxmlformats.org/officeDocument/2006/relationships/hyperlink" Target="http://www.enciclopediadelledonne.it/biografie/franca-viola/" TargetMode="External"/><Relationship Id="rId25" Type="http://schemas.openxmlformats.org/officeDocument/2006/relationships/hyperlink" Target="https://www.gliscritti.it/approf/papers/fumagalli/fumagalli1.htm" TargetMode="External"/><Relationship Id="rId2" Type="http://schemas.openxmlformats.org/officeDocument/2006/relationships/styles" Target="styles.xml"/><Relationship Id="rId16" Type="http://schemas.openxmlformats.org/officeDocument/2006/relationships/hyperlink" Target="https://it.wikipedia.org/wiki/Franca_Viola" TargetMode="External"/><Relationship Id="rId20" Type="http://schemas.openxmlformats.org/officeDocument/2006/relationships/hyperlink" Target="https://www.senato.it/service/PDF/PDFServer/BGT/332284.pdf" TargetMode="External"/><Relationship Id="rId1" Type="http://schemas.openxmlformats.org/officeDocument/2006/relationships/numbering" Target="numbering.xml"/><Relationship Id="rId6" Type="http://schemas.openxmlformats.org/officeDocument/2006/relationships/hyperlink" Target="https://www.senato.it/service/PDF/PDFServer/BGT/332284.pdf" TargetMode="External"/><Relationship Id="rId11" Type="http://schemas.openxmlformats.org/officeDocument/2006/relationships/hyperlink" Target="https://www.vanillamagazine.it/artemisia-gentileschi-la-pittrice-torturata-per-dimostrare-il-suo-stupro-a/" TargetMode="External"/><Relationship Id="rId24" Type="http://schemas.openxmlformats.org/officeDocument/2006/relationships/hyperlink" Target="https://www.normattiva.it/uri-res/N2Ls?urn:nir:stato:codice.penale:1930-10-19;1398~art352" TargetMode="External"/><Relationship Id="rId5" Type="http://schemas.openxmlformats.org/officeDocument/2006/relationships/hyperlink" Target="https://www.normattiva.it/uri-res/N2Ls?urn:nir:stato:regio.decreto:1889-06-30;6133" TargetMode="External"/><Relationship Id="rId15" Type="http://schemas.openxmlformats.org/officeDocument/2006/relationships/hyperlink" Target="https://www.finestresullarte.info/arte-base/artemisia-gentileschi-vita-e-opere-grande-pittrice-seicento" TargetMode="External"/><Relationship Id="rId23" Type="http://schemas.openxmlformats.org/officeDocument/2006/relationships/hyperlink" Target="https://www.senato.it/leg/08/BGT/Schede/Attsen/00000212.htm" TargetMode="External"/><Relationship Id="rId10" Type="http://schemas.openxmlformats.org/officeDocument/2006/relationships/hyperlink" Target="https://artsandculture.google.com/asset/judith-and-holofernes-artemisia-gentileschi/EAHU7mkaSlAX2A?hl=it" TargetMode="External"/><Relationship Id="rId19" Type="http://schemas.openxmlformats.org/officeDocument/2006/relationships/hyperlink" Target="https://www.normattiva.it/uri-res/N2Ls?urn:nir:stato:regio.decreto:1889-06-30;613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rttrip.it/artemisia-gentileschi/" TargetMode="External"/><Relationship Id="rId22" Type="http://schemas.openxmlformats.org/officeDocument/2006/relationships/hyperlink" Target="https://www.brocardi.it/codice-penale/libro-secondo/titolo-ix/capo-iii/art544.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1932</Words>
  <Characters>11017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2023-01-17T10:37:00Z</cp:lastPrinted>
  <dcterms:created xsi:type="dcterms:W3CDTF">2023-01-17T10:36:00Z</dcterms:created>
  <dcterms:modified xsi:type="dcterms:W3CDTF">2023-01-17T10:58:00Z</dcterms:modified>
</cp:coreProperties>
</file>